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003366"/>
          <w:sz w:val="60"/>
        </w:rPr>
        <w:t>ARSITEKTUR PROPOSAL</w:t>
      </w:r>
    </w:p>
    <w:p>
      <w:pPr>
        <w:jc w:val="center"/>
      </w:pPr>
      <w:r>
        <w:rPr>
          <w:sz w:val="28"/>
        </w:rPr>
        <w:t>Konsultan – Transformation</w:t>
      </w:r>
    </w:p>
    <w:p/>
    <w:p>
      <w:pPr>
        <w:jc w:val="center"/>
      </w:pPr>
      <w:r>
        <w:rPr>
          <w:b/>
          <w:sz w:val="32"/>
        </w:rPr>
        <w:t>Untuk: Bank Mandiri</w:t>
      </w:r>
    </w:p>
    <w:p>
      <w:pPr>
        <w:jc w:val="center"/>
      </w:pPr>
      <w:r>
        <w:t>Inisiatif: Penguatan tata kelola delivery, percepatan keputusan lintas unit, dan penyusunan roadmap eksekusi yang lebih terukur untuk Bank Mandiri.</w:t>
      </w:r>
    </w:p>
    <w:p>
      <w:pPr>
        <w:jc w:val="center"/>
      </w:pPr>
      <w:r>
        <w:t>Durasi: 4 Bulan | Estimasi Investasi: Rp 500.000.000 | Tanggal: 31 March 2026</w:t>
      </w:r>
    </w:p>
    <w:p>
      <w:pPr>
        <w:jc w:val="center"/>
      </w:pPr>
      <w:r>
        <w:t>Disusun oleh Inixindo Jogja</w:t>
      </w:r>
    </w:p>
    <w:p>
      <w:r>
        <w:br w:type="page"/>
      </w:r>
    </w:p>
    <w:p>
      <w:pPr>
        <w:pStyle w:val="Heading1"/>
        <w:jc w:val="center"/>
      </w:pPr>
      <w:r>
        <w:rPr>
          <w:color w:val="003366"/>
        </w:rPr>
        <w:t>BAB I – KONTEKS KLIEN</w:t>
      </w:r>
    </w:p>
    <w:p>
      <w:r>
        <w:rPr>
          <w:b w:val="0"/>
          <w:i w:val="0"/>
        </w:rPr>
        <w:t>Bab pembuka untuk Bank Mandiri perlu langsung memberi pegangan yang jelas mengenai konteks organisasi, tekanan bisnis, dan alasan mengapa jasa konsultasi dibutuhkan saat ini. Tujuannya bukan sekadar memperkenalkan klien, melainkan membantu sponsor membaca bahwa inisiatif penguatan tata kelola delivery, percepatan keputusan lintas unit, dan penyusunan roadmap eksekusi yang lebih terukur untuk bank mandiri memang memiliki kaitan langsung dengan hasil seperti digital transaction growth nasabah dalam 4 bulan. | Kepatuhan &amp; risiko operasional (audit findings) membaik dalam 4 bulan. | Ketersediaan layanan digital meningkat dan insiden prioritas menurun dalam 4 bulan.. Proposal ini menjadi momen pembentukan kemitraan kerja yang perlu dimulai dengan pembacaan konteks yang rapi dan tidak berlebihan. Dalam mode penawaran, konteks ini dipakai untuk menunjukkan bahwa proposal sejak awal dibangun dari kebutuhan bisnis yang nyata dan bukan dari asumsi generik. (Data Internal, 2026).</w:t>
      </w:r>
    </w:p>
    <w:p>
      <w:pPr>
        <w:pStyle w:val="Heading2"/>
      </w:pPr>
      <w:r>
        <w:rPr>
          <w:rFonts w:ascii="Arial" w:hAnsi="Arial"/>
          <w:b/>
          <w:color w:val="003366"/>
        </w:rPr>
        <w:t>1.1 Latar Belakang Organisasi Klien</w:t>
      </w:r>
    </w:p>
    <w:p>
      <w:r>
        <w:rPr>
          <w:b w:val="0"/>
          <w:i w:val="0"/>
        </w:rPr>
        <w:t>Bank Mandiri saat ini berada pada fase yang menuntut keputusan kerja lebih tajam terhadap penguatan tata kelola delivery, percepatan keputusan lintas unit, dan penyusunan roadmap eksekusi yang lebih terukur untuk bank mandiri. Tekanan yang paling menonjol dapat dibaca dari prioritas kerja masih tersebar, koordinasi bisnis-teknologi belum konsisten, dan dibutuhkan kejelasan ruang lingkup, deliverable, serta governance proyek agar eksekusi lebih terkendali di bank mandiri. 1. Prioritas pertama adalah memastikan keputusan sponsor tetap terhubung ke kebutuhan inti opportunity. 2. Prioritas kedua adalah menjaga bahasa kerja nasabah, core banking, risk appetite agar forum bisnis, pelaksanaan, dan tata kelola membaca arah yang sama. 3. Prioritas ketiga adalah menyiapkan pola kerja yang memungkinkan Bank Mandiri bergerak lebih terukur tanpa kehilangan kontrol terhadap risiko dan ketergantungan lintas fungsi.</w:t>
      </w:r>
    </w:p>
    <w:p>
      <w:pPr>
        <w:pStyle w:val="Heading2"/>
      </w:pPr>
      <w:r>
        <w:rPr>
          <w:rFonts w:ascii="Arial" w:hAnsi="Arial"/>
          <w:b/>
          <w:color w:val="003366"/>
        </w:rPr>
        <w:t>1.2 Alasan Permintaan Jasa Konsultasi</w:t>
      </w:r>
    </w:p>
    <w:p>
      <w:r>
        <w:rPr>
          <w:b w:val="0"/>
          <w:i w:val="0"/>
        </w:rPr>
        <w:t>Permintaan jasa konsultasi muncul karena Bank Mandiri membutuhkan mitra yang mampu menerjemahkan tekanan bisnis menjadi arah kerja, metode, dan keluaran yang lebih siap dijalankan. Dalam konteks ini, Inixindo Jogja diposisikan untuk membantu Bank Mandiri mencapai inixindo jogja menempatkan engagement bank mandiri sebagai upaya untuk mengubah kebutuhan klien menjadi program perubahan yang lebih terkendali, dengan memanfaatkan kapabilitas readiness assessment, rollout orchestration, change management, dan... Pada akhirnya, alasan permintaan jasa konsultasi adalah kebutuhan untuk memastikan bahwa inisiatif penguatan tata kelola delivery, percepatan keputusan lintas unit, dan penyusunan roadmap eksekusi yang lebih terukur untuk bank mandiri tidak hanya terlihat baik di atas kertas, tetapi sungguh mempunyai jalur kerja yang rapi untuk diwujudkan. Bagi sponsor Bank Mandiri, itulah fungsi utama proposal ini: memberi dasar keputusan yang lebih kuat sebelum organisasi bergerak lebih jauh.</w:t>
      </w:r>
    </w:p>
    <w:p>
      <w:r>
        <w:br w:type="page"/>
      </w:r>
    </w:p>
    <w:p>
      <w:pPr>
        <w:pStyle w:val="Heading1"/>
        <w:jc w:val="center"/>
      </w:pPr>
      <w:r>
        <w:rPr>
          <w:color w:val="003366"/>
        </w:rPr>
        <w:t>BAB II – PERMASALAHAN</w:t>
      </w:r>
    </w:p>
    <w:p>
      <w:r>
        <w:rPr>
          <w:b w:val="0"/>
          <w:i w:val="0"/>
        </w:rPr>
        <w:t>Bab permasalahan untuk Bank Mandiri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w:t>
      </w:r>
    </w:p>
    <w:p>
      <w:pPr>
        <w:pStyle w:val="Heading2"/>
      </w:pPr>
      <w:r>
        <w:rPr>
          <w:rFonts w:ascii="Arial" w:hAnsi="Arial"/>
          <w:b/>
          <w:color w:val="003366"/>
        </w:rPr>
        <w:t>2.1 Kebutuhan atau Keinginan Klien</w:t>
      </w:r>
    </w:p>
    <w:p>
      <w:r>
        <w:rPr>
          <w:b w:val="0"/>
          <w:i w:val="0"/>
        </w:rPr>
        <w:t>Kebutuhan utama Bank Mandiri pada proposal ini berputar pada upaya untuk opportunity. Di balik kebutuhan tersebut, sponsor sebenarnya sedang mencari cara agar keputusan, pelaksanaan, dan kontrol program tidak berjalan sendiri-sendiri.</w:t>
      </w:r>
    </w:p>
    <w:p>
      <w:pPr>
        <w:pStyle w:val="Heading2"/>
      </w:pPr>
      <w:r>
        <w:rPr>
          <w:rFonts w:ascii="Arial" w:hAnsi="Arial"/>
          <w:b/>
          <w:color w:val="003366"/>
        </w:rPr>
        <w:t>2.2 Konteks Bisnis</w:t>
      </w:r>
    </w:p>
    <w:p>
      <w:r>
        <w:rPr>
          <w:b w:val="0"/>
          <w:i w:val="0"/>
        </w:rPr>
        <w:t>Dari sisi konteks bisnis, Bank Mandiri sedang berada pada situasi yang menuntut kejelasan prioritas atas penguatan tata kelola delivery, percepatan keputusan lintas unit, dan penyusunan roadmap eksekusi yang lebih terukur untuk bank mandiri. Tekanan yang muncul tidak berdiri sendiri, melainkan terkait dengan harapan sponsor terhadap mobilisasi yang lebih cepat, kontrol risiko perubahan yang lebih baik, adopsi hasil yang lebih stabil, kebutuhan menjaga ritme kerja nasabah, core banking, risk appetite, dan tuntutan agar investasi atau upaya yang dikeluarkan benar-benar menghasilkan perbaikan yang bisa dirasakan.</w:t>
      </w:r>
    </w:p>
    <w:p>
      <w:pPr>
        <w:pStyle w:val="Heading2"/>
      </w:pPr>
      <w:r>
        <w:rPr>
          <w:rFonts w:ascii="Arial" w:hAnsi="Arial"/>
          <w:b/>
          <w:color w:val="003366"/>
        </w:rPr>
        <w:t>2.3 Tantangan Utama</w:t>
      </w:r>
    </w:p>
    <w:p>
      <w:r>
        <w:rPr>
          <w:b w:val="0"/>
          <w:i w:val="0"/>
        </w:rPr>
        <w:t>Tantangan utama yang dihadapi Bank Mandiri dapat diringkas ke dalam tiga hal yang saling terkait: 1. Menyatukan arah sponsor, tim inti, dan pelaksana kerja agar membaca tujuan yang sama terhadap penguatan tata kelola delivery, percepatan keputusan lintas unit, dan penyusunan roadmap eksekusi yang lebih terukur untuk bank mandiri.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003366"/>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Heading2"/>
      </w:pPr>
      <w:r>
        <w:rPr>
          <w:rFonts w:ascii="Arial" w:hAnsi="Arial"/>
          <w:b/>
          <w:color w:val="003366"/>
        </w:rPr>
        <w:t>2.5 Implikasi / Risiko</w:t>
      </w:r>
    </w:p>
    <w:p>
      <w:r>
        <w:rPr>
          <w:b w:val="0"/>
          <w:i w:val="0"/>
        </w:rPr>
        <w:t>Bila kesenjangan tersebut dibiarkan, Bank Mandiri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w:t>
      </w:r>
    </w:p>
    <w:p>
      <w:pPr>
        <w:pStyle w:val="Heading2"/>
      </w:pPr>
      <w:r>
        <w:rPr>
          <w:rFonts w:ascii="Arial" w:hAnsi="Arial"/>
          <w:b/>
          <w:color w:val="003366"/>
        </w:rPr>
        <w:t>2.6 Kebutuhan Solusi</w:t>
      </w:r>
    </w:p>
    <w:p>
      <w:r>
        <w:rPr>
          <w:b w:val="0"/>
          <w:i w:val="0"/>
        </w:rPr>
        <w:t>Dengan pola masalah seperti di atas, Bank Mandiri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w:t>
      </w:r>
    </w:p>
    <w:p>
      <w:r>
        <w:br w:type="page"/>
      </w:r>
    </w:p>
    <w:p>
      <w:pPr>
        <w:pStyle w:val="Heading1"/>
        <w:jc w:val="center"/>
      </w:pPr>
      <w:r>
        <w:rPr>
          <w:color w:val="003366"/>
        </w:rPr>
        <w:t>BAB III – KLASIFIKASI KEBUTUHAN</w:t>
      </w:r>
    </w:p>
    <w:p>
      <w:r>
        <w:rPr>
          <w:b w:val="0"/>
          <w:i w:val="0"/>
        </w:rPr>
        <w:t>Bab klasifikasi kebutuhan untuk Bank Mandiri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w:t>
      </w:r>
    </w:p>
    <w:p>
      <w:pPr>
        <w:pStyle w:val="Heading2"/>
      </w:pPr>
      <w:r>
        <w:rPr>
          <w:rFonts w:ascii="Arial" w:hAnsi="Arial"/>
          <w:b/>
          <w:color w:val="00336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Bank Mandiri, penajaman ini penting supaya scope, metode kerja, dan bentuk keluaran tidak tersebar ke terlalu banyak sasaran sejak awal.</w:t>
      </w:r>
    </w:p>
    <w:p>
      <w:pPr>
        <w:pStyle w:val="Heading2"/>
      </w:pPr>
      <w:r>
        <w:rPr>
          <w:rFonts w:ascii="Arial" w:hAnsi="Arial"/>
          <w:b/>
          <w:color w:val="003366"/>
        </w:rPr>
        <w:t>3.2 Tujuan Utama dan Jenis Proyek</w:t>
      </w:r>
    </w:p>
    <w:p>
      <w:r>
        <w:rPr>
          <w:b w:val="0"/>
          <w:i w:val="0"/>
        </w:rPr>
        <w:t>Dengan fokus kebutuhan yang sudah mengerucut, tujuan utama proyek dapat ditegaskan sebagai upaya membantu Bank Mandiri mencapai penguatan tata kelola delivery, percepatan keputusan lintas unit, dan penyusunan roadmap eksekusi yang lebih terukur untuk bank mandiri melalui model kerja</w:t>
      </w:r>
      <w:r>
        <w:rPr>
          <w:b/>
          <w:i w:val="0"/>
        </w:rPr>
        <w:t xml:space="preserve"> Transformation</w:t>
      </w:r>
      <w:r>
        <w:rPr>
          <w:b w:val="0"/>
          <w:i w:val="0"/>
        </w:rPr>
        <w:t>. Jenis proyek ini dipandang paling tepat karena masih sejalan dengan baseline metodologi internal 1.</w:t>
      </w:r>
    </w:p>
    <w:p>
      <w:pPr>
        <w:pStyle w:val="ListNumber"/>
        <w:spacing w:before="0" w:after="80"/>
        <w:numPr>
          <w:ilvl w:val="0"/>
          <w:numId w:val="10"/>
        </w:numPr>
      </w:pPr>
      <w:r>
        <w:rPr>
          <w:b w:val="0"/>
          <w:i w:val="0"/>
        </w:rPr>
        <w:t>Prioritas implementasi untuk Bank Mandiri diarahkan agar tetap selaras dengan digital transaction growth nasabah dalam 4 bulan. | Kepatuhan &amp; risiko operasional (audit findings) membaik dalam 4 bulan..</w:t>
      </w:r>
    </w:p>
    <w:p>
      <w:pPr>
        <w:pStyle w:val="ListNumber"/>
        <w:spacing w:before="0" w:after="80"/>
        <w:numPr>
          <w:ilvl w:val="0"/>
          <w:numId w:val="10"/>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rPr>
          <w:b w:val="0"/>
          <w:i w:val="0"/>
        </w:rPr>
        <w:t>Pada praktiknya, klasifikasi kebutuhan tidak boleh berhenti sebagai label administratif. Bagi Bank Mandiri, klasifikasi ini menentukan apakah fokus kerja harus menutup gap yang sudah nyata, menangkap peluang yang bisa mempercepat hasil, atau memenuhi directive yang tidak bisa ditawar. Dengan kerangka seperti ini, keputusan scope, prioritas eksekusi, dan governance bisa diarahkan lebih presisi terhadap KPI seperti Pertumbuhan transaksi digital nasabah dalam 4 bulan. | Kepatuhan &amp; risiko operasional (audit findings) membaik dalam 4 bulan..</w:t>
      </w:r>
    </w:p>
    <w:p>
      <w:r>
        <w:br w:type="page"/>
      </w:r>
    </w:p>
    <w:p>
      <w:pPr>
        <w:pStyle w:val="Heading1"/>
        <w:jc w:val="center"/>
      </w:pPr>
      <w:r>
        <w:rPr>
          <w:color w:val="003366"/>
        </w:rPr>
        <w:t>BAB IV – PENDEKATAN</w:t>
      </w:r>
    </w:p>
    <w:p>
      <w:r>
        <w:rPr>
          <w:b w:val="0"/>
          <w:i w:val="0"/>
        </w:rPr>
        <w:t>Pendekatan untuk Bank Mandiri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Arial" w:hAnsi="Arial"/>
          <w:b/>
          <w:color w:val="003366"/>
        </w:rPr>
        <w:t>4.1 Acuan Prinsip/Kerangka/Teori/Regulasi</w:t>
      </w:r>
    </w:p>
    <w:p>
      <w:r>
        <w:rPr>
          <w:b w:val="0"/>
          <w:i w:val="0"/>
        </w:rPr>
        <w:t>Pemilihan acuan untuk Bank Mandiri diarahkan agar kebutuhan opportunity dapat ditangani dengan bahasa kerja yang tetap konsisten terhadap nasabah, core banking, risk appetite.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transformation agar arah kerja tetap konsisten dari keputusan sampai eksekusi</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transformation agar arah kerja tetap konsisten dari keputusan sampai eksekusi</w:t>
            </w:r>
          </w:p>
        </w:tc>
      </w:tr>
      <w:tr>
        <w:tc>
          <w:tcPr>
            <w:tcW w:type="dxa" w:w="3120"/>
          </w:tcPr>
          <w:p>
            <w:r>
              <w:rPr>
                <w:b w:val="0"/>
                <w:i w:val="0"/>
              </w:rPr>
              <w:t>Cobit</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transformation agar arah kerja tetap konsisten dari keputusan sampai eksekusi</w:t>
            </w:r>
          </w:p>
        </w:tc>
      </w:tr>
      <w:tr>
        <w:tc>
          <w:tcPr>
            <w:tcW w:type="dxa" w:w="3120"/>
          </w:tcPr>
          <w:p>
            <w:r>
              <w:rPr>
                <w:b w:val="0"/>
                <w:i w:val="0"/>
              </w:rPr>
              <w:t>ISO 27001</w:t>
            </w:r>
          </w:p>
        </w:tc>
        <w:tc>
          <w:tcPr>
            <w:tcW w:type="dxa" w:w="3120"/>
          </w:tcPr>
          <w:p>
            <w:r>
              <w:rPr>
                <w:b w:val="0"/>
                <w:i w:val="0"/>
              </w:rPr>
              <w:t>memberi batas kepatuhan, kontrol minimum, dan ekspektasi kualitas yang wajib dijaga</w:t>
            </w:r>
          </w:p>
        </w:tc>
        <w:tc>
          <w:tcPr>
            <w:tcW w:type="dxa" w:w="3120"/>
          </w:tcPr>
          <w:p>
            <w:r>
              <w:rPr>
                <w:b w:val="0"/>
                <w:i w:val="0"/>
              </w:rPr>
              <w:t>relevan untuk proyek transformation agar arah kerja tetap konsisten dari keputusan sampai eksekusi</w:t>
            </w:r>
          </w:p>
        </w:tc>
      </w:tr>
    </w:tbl>
    <w:p>
      <w:r>
        <w:rPr>
          <w:b w:val="0"/>
          <w:i w:val="0"/>
        </w:rPr>
        <w:t>Dengan acuan seperti di atas, Bank Mandiri memperoleh pegangan yang jelas mengenai standar apa yang dipakai untuk menguji apakah solusi yang diusulkan memang selaras dengan konteks, risiko, dan ekspektasi hasil bisnis.</w:t>
      </w:r>
    </w:p>
    <w:p>
      <w:pPr>
        <w:pStyle w:val="Heading2"/>
      </w:pPr>
      <w:r>
        <w:rPr>
          <w:rFonts w:ascii="Arial" w:hAnsi="Arial"/>
          <w:b/>
          <w:color w:val="003366"/>
        </w:rPr>
        <w:t>4.2 Standar Penyelesaian Masalah</w:t>
      </w:r>
    </w:p>
    <w:p>
      <w:r>
        <w:rPr>
          <w:b w:val="0"/>
          <w:i w:val="0"/>
        </w:rPr>
        <w:t>Standar penyelesaian masalah pada proposal ini dijaga melalui alur kerja yang tertib, bukan lewat lompatan solusi. Bagi Bank Mandiri,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digital transaction growth nasabah dalam 4 bulan. | Kepatuhan &amp; risiko operasional (audit findings) membaik dalam 4 bulan. | Ketersediaan layanan digital meningkat dan insiden prioritas menurun dalam 4 bulan., bukan melebar ke aktivitas yang tidak memberi dampak nyata.</w:t>
      </w:r>
    </w:p>
    <w:p>
      <w:r>
        <w:br w:type="page"/>
      </w:r>
    </w:p>
    <w:p>
      <w:pPr>
        <w:pStyle w:val="Heading1"/>
        <w:jc w:val="center"/>
      </w:pPr>
      <w:r>
        <w:rPr>
          <w:color w:val="003366"/>
        </w:rPr>
        <w:t>BAB V – METODOLOGI</w:t>
      </w:r>
    </w:p>
    <w:p>
      <w:r>
        <w:rPr>
          <w:b w:val="0"/>
          <w:i w:val="0"/>
        </w:rPr>
        <w:t>Metodologi untuk Bank Mandiri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003366"/>
        </w:rPr>
        <w:t>5.1 Alasan Pemilihan Metodologi</w:t>
      </w:r>
    </w:p>
    <w:p>
      <w:r>
        <w:rPr>
          <w:b w:val="0"/>
          <w:i w:val="0"/>
        </w:rPr>
        <w:t>Metodologi dipilih dengan mempertimbangkan tipe proyek</w:t>
      </w:r>
      <w:r>
        <w:rPr>
          <w:b/>
          <w:i w:val="0"/>
        </w:rPr>
        <w:t xml:space="preserve"> Transformation</w:t>
      </w:r>
      <w:r>
        <w:rPr>
          <w:b w:val="0"/>
          <w:i w:val="0"/>
        </w:rPr>
        <w:t>, jenis layanan</w:t>
      </w:r>
      <w:r>
        <w:rPr>
          <w:b/>
          <w:i w:val="0"/>
        </w:rPr>
        <w:t xml:space="preserve"> Konsultan</w:t>
      </w:r>
      <w:r>
        <w:rPr>
          <w:b w:val="0"/>
          <w:i w:val="0"/>
        </w:rPr>
        <w:t>, horizon</w:t>
      </w:r>
      <w:r>
        <w:rPr>
          <w:b/>
          <w:i w:val="0"/>
        </w:rPr>
        <w:t xml:space="preserve"> 4 Bulan</w:t>
      </w:r>
      <w:r>
        <w:rPr>
          <w:b w:val="0"/>
          <w:i w:val="0"/>
        </w:rPr>
        <w:t>, serta kebutuhan Bank Mandiri untuk menjaga mobilisasi yang lebih cepat, kontrol risiko perubahan yang lebih baik, adopsi hasil yang lebih stabil. Baseline internal yang digunakan adalah 1. readiness assessment 2. phased rollout 3. change management 4. hypercare, namun penerapannya disesuaikan agar tetap relevan dengan konteks penguatan tata kelola delivery, percepatan keputusan lintas unit, dan penyusunan roadmap eksekusi yang lebih terukur untuk bank mandiri dan tekanan seperti prioritas kerja masih tersebar, koordinasi bisnis-teknologi belum konsisten, dan dibutuhkan kejelasan ruang lingkup, deliverable, serta governance proyek agar.... Bagi Bank Mandiri,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bank mandiri sebagai upaya untuk mengubah kebutuhan klien menjadi program perubahan yang lebih terkendali, dengan memanfaatkan kapabilitas readiness assessment, rollout orchestration, change management, dan... tidak berhenti sebagai janji, melainkan turun menjadi jalur kerja yang dapat dioperasionalkan. - Dengan metodologi seperti ini, forum kerja Bank Mandiri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003366"/>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Readiness Assessment</w:t>
            </w:r>
          </w:p>
        </w:tc>
        <w:tc>
          <w:tcPr>
            <w:tcW w:type="dxa" w:w="1872"/>
          </w:tcPr>
          <w:p>
            <w:r>
              <w:rPr>
                <w:b w:val="0"/>
                <w:i w:val="0"/>
              </w:rPr>
              <w:t>Bulan 1</w:t>
            </w:r>
          </w:p>
        </w:tc>
        <w:tc>
          <w:tcPr>
            <w:tcW w:type="dxa" w:w="1872"/>
          </w:tcPr>
          <w:p>
            <w:r>
              <w:rPr>
                <w:b w:val="0"/>
                <w:i w:val="0"/>
              </w:rPr>
              <w:t>Nilai kesiapan organisasi, proses, data, dan sponsor.</w:t>
            </w:r>
          </w:p>
        </w:tc>
        <w:tc>
          <w:tcPr>
            <w:tcW w:type="dxa" w:w="1872"/>
          </w:tcPr>
          <w:p>
            <w:r>
              <w:rPr>
                <w:b w:val="0"/>
                <w:i w:val="0"/>
              </w:rPr>
              <w:t>readiness view dan daftar gap</w:t>
            </w:r>
          </w:p>
        </w:tc>
        <w:tc>
          <w:tcPr>
            <w:tcW w:type="dxa" w:w="1872"/>
          </w:tcPr>
          <w:p>
            <w:r>
              <w:rPr>
                <w:b w:val="0"/>
                <w:i w:val="0"/>
              </w:rPr>
              <w:t>baseline kebutuhan dan agenda kerja disetujui sponsor</w:t>
            </w:r>
          </w:p>
        </w:tc>
      </w:tr>
      <w:tr>
        <w:tc>
          <w:tcPr>
            <w:tcW w:type="dxa" w:w="1872"/>
          </w:tcPr>
          <w:p>
            <w:r>
              <w:rPr>
                <w:b w:val="0"/>
                <w:i w:val="0"/>
              </w:rPr>
              <w:t>Blueprint &amp; Mobilization</w:t>
            </w:r>
          </w:p>
        </w:tc>
        <w:tc>
          <w:tcPr>
            <w:tcW w:type="dxa" w:w="1872"/>
          </w:tcPr>
          <w:p>
            <w:r>
              <w:rPr>
                <w:b w:val="0"/>
                <w:i w:val="0"/>
              </w:rPr>
              <w:t>Bulan 2</w:t>
            </w:r>
          </w:p>
        </w:tc>
        <w:tc>
          <w:tcPr>
            <w:tcW w:type="dxa" w:w="1872"/>
          </w:tcPr>
          <w:p>
            <w:r>
              <w:rPr>
                <w:b w:val="0"/>
                <w:i w:val="0"/>
              </w:rPr>
              <w:t>Tetapkan rancangan solusi, governance, dan model delivery.</w:t>
            </w:r>
          </w:p>
        </w:tc>
        <w:tc>
          <w:tcPr>
            <w:tcW w:type="dxa" w:w="1872"/>
          </w:tcPr>
          <w:p>
            <w:r>
              <w:rPr>
                <w:b w:val="0"/>
                <w:i w:val="0"/>
              </w:rPr>
              <w:t>blueprint, scope lock, dan mobilization plan</w:t>
            </w:r>
          </w:p>
        </w:tc>
        <w:tc>
          <w:tcPr>
            <w:tcW w:type="dxa" w:w="1872"/>
          </w:tcPr>
          <w:p>
            <w:r>
              <w:rPr>
                <w:b w:val="0"/>
                <w:i w:val="0"/>
              </w:rPr>
              <w:t>hasil fase tervalidasi sebelum masuk ke fase berikutnya</w:t>
            </w:r>
          </w:p>
        </w:tc>
      </w:tr>
      <w:tr>
        <w:tc>
          <w:tcPr>
            <w:tcW w:type="dxa" w:w="1872"/>
          </w:tcPr>
          <w:p>
            <w:r>
              <w:rPr>
                <w:b w:val="0"/>
                <w:i w:val="0"/>
              </w:rPr>
              <w:t>Phased Rollout</w:t>
            </w:r>
          </w:p>
        </w:tc>
        <w:tc>
          <w:tcPr>
            <w:tcW w:type="dxa" w:w="1872"/>
          </w:tcPr>
          <w:p>
            <w:r>
              <w:rPr>
                <w:b w:val="0"/>
                <w:i w:val="0"/>
              </w:rPr>
              <w:t>Bulan 3</w:t>
            </w:r>
          </w:p>
        </w:tc>
        <w:tc>
          <w:tcPr>
            <w:tcW w:type="dxa" w:w="1872"/>
          </w:tcPr>
          <w:p>
            <w:r>
              <w:rPr>
                <w:b w:val="0"/>
                <w:i w:val="0"/>
              </w:rPr>
              <w:t>Eksekusi perubahan prioritas melalui workstream terukur.</w:t>
            </w:r>
          </w:p>
        </w:tc>
        <w:tc>
          <w:tcPr>
            <w:tcW w:type="dxa" w:w="1872"/>
          </w:tcPr>
          <w:p>
            <w:r>
              <w:rPr>
                <w:b w:val="0"/>
                <w:i w:val="0"/>
              </w:rPr>
              <w:t>deliverable inti dan milestone rollout</w:t>
            </w:r>
          </w:p>
        </w:tc>
        <w:tc>
          <w:tcPr>
            <w:tcW w:type="dxa" w:w="1872"/>
          </w:tcPr>
          <w:p>
            <w:r>
              <w:rPr>
                <w:b w:val="0"/>
                <w:i w:val="0"/>
              </w:rPr>
              <w:t>hasil fase tervalidasi sebelum masuk ke fase berikutnya</w:t>
            </w:r>
          </w:p>
        </w:tc>
      </w:tr>
      <w:tr>
        <w:tc>
          <w:tcPr>
            <w:tcW w:type="dxa" w:w="1872"/>
          </w:tcPr>
          <w:p>
            <w:r>
              <w:rPr>
                <w:b w:val="0"/>
                <w:i w:val="0"/>
              </w:rPr>
              <w:t>Hypercare &amp; Stabilization</w:t>
            </w:r>
          </w:p>
        </w:tc>
        <w:tc>
          <w:tcPr>
            <w:tcW w:type="dxa" w:w="1872"/>
          </w:tcPr>
          <w:p>
            <w:r>
              <w:rPr>
                <w:b w:val="0"/>
                <w:i w:val="0"/>
              </w:rPr>
              <w:t>Bulan 4</w:t>
            </w:r>
          </w:p>
        </w:tc>
        <w:tc>
          <w:tcPr>
            <w:tcW w:type="dxa" w:w="1872"/>
          </w:tcPr>
          <w:p>
            <w:r>
              <w:rPr>
                <w:b w:val="0"/>
                <w:i w:val="0"/>
              </w:rPr>
              <w:t>Amankan adopsi, kualitas layanan, dan transisi operasi.</w:t>
            </w:r>
          </w:p>
        </w:tc>
        <w:tc>
          <w:tcPr>
            <w:tcW w:type="dxa" w:w="1872"/>
          </w:tcPr>
          <w:p>
            <w:r>
              <w:rPr>
                <w:b w:val="0"/>
                <w:i w:val="0"/>
              </w:rPr>
              <w:t>stabilization report dan next-step backlog</w:t>
            </w:r>
          </w:p>
        </w:tc>
        <w:tc>
          <w:tcPr>
            <w:tcW w:type="dxa" w:w="1872"/>
          </w:tcPr>
          <w:p>
            <w:r>
              <w:rPr>
                <w:b w:val="0"/>
                <w:i w:val="0"/>
              </w:rPr>
              <w:t>keluaran akhir diterima dan langkah lanjutan disepakati</w:t>
            </w:r>
          </w:p>
        </w:tc>
      </w:tr>
    </w:tbl>
    <w:p>
      <w:r>
        <w:rPr>
          <w:b w:val="0"/>
          <w:i w:val="0"/>
        </w:rPr>
        <w:t>Struktur fase di atas memastikan bahwa Bank Mandiri selalu memiliki titik evaluasi yang jelas sebelum bergerak ke tahap berikutnya. Artinya, setiap keluaran bukan hanya artefak administratif, melainkan bahan keputusan yang dipakai untuk menguji apakah program masih berada pada jalur yang mendukung KPI seperti digital transaction growth nasabah dalam 4 bulan. | Kepatuhan &amp; risiko operasional (audit findings) membaik dalam 4 bulan. | Ketersediaan layanan digital meningkat dan insiden prioritas menurun dalam 4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Bank Mandiri menjaga kesinambungan antara forum sponsor, tim inti, dan pelaksana kerja. - Dengan pola ini, bab desain solusi setelahnya dapat langsung menjelaskan bentuk keluaran dan manfaat praktis tanpa harus mengulang dasar cara kerjanya.</w:t>
      </w:r>
    </w:p>
    <w:p>
      <w:r>
        <w:br w:type="page"/>
      </w:r>
    </w:p>
    <w:p>
      <w:pPr>
        <w:pStyle w:val="Heading1"/>
        <w:jc w:val="center"/>
      </w:pPr>
      <w:r>
        <w:rPr>
          <w:color w:val="003366"/>
        </w:rPr>
        <w:t>BAB VI – SOLUTION DESIGN</w:t>
      </w:r>
    </w:p>
    <w:p>
      <w:r>
        <w:rPr>
          <w:b w:val="0"/>
          <w:i w:val="0"/>
        </w:rPr>
        <w:t>Solution design untuk Bank Mandiri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penguatan tata kelola delivery, percepatan keputusan lintas unit, dan penyusunan roadmap eksekusi yang lebih terukur untuk bank mandiri secara nyata. Dengan pendekatan ini, desain solusi tetap terhubung ke KPI seperti digital transaction growth nasabah dalam 4 bulan. | Kepatuhan &amp; risiko operasional (audit findings) membaik dalam 4 bulan. | Ketersediaan layanan digital meningkat dan insiden prioritas menurun dalam 4 bulan., sekaligus menjaga nilai proposal tetap terasa konkret dan dapat dijalankan (Data Internal, 2026).</w:t>
      </w:r>
    </w:p>
    <w:p>
      <w:pPr>
        <w:pStyle w:val="Heading2"/>
      </w:pPr>
      <w:r>
        <w:rPr>
          <w:rFonts w:ascii="Arial" w:hAnsi="Arial"/>
          <w:b/>
          <w:color w:val="003366"/>
        </w:rPr>
        <w:t>6.1 Solusi/Output Metodologi yang Dibangun</w:t>
      </w:r>
    </w:p>
    <w:p>
      <w:r>
        <w:rPr>
          <w:b w:val="0"/>
          <w:i w:val="0"/>
        </w:rPr>
        <w:t>Solusi yang ditawarkan diarahkan untuk membantu Bank Mandiri bergerak dari kebutuhan opportunity menuju target state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nasabah, core banking, risk appetite. - Target state yang dibangun harus tetap selaras dengan manfaat yang dijanjikan, terutama mobilisasi yang lebih cepat, kontrol risiko perubahan yang lebih baik, adopsi hasil yang lebih stabil. - Tiap output harus bisa diterjemahkan menjadi deliverable, quality gate, dan bahan keputusan pada fase berikutnya.</w:t>
      </w:r>
    </w:p>
    <w:p>
      <w:pPr>
        <w:pStyle w:val="Heading2"/>
      </w:pPr>
      <w:r>
        <w:rPr>
          <w:rFonts w:ascii="Arial" w:hAnsi="Arial"/>
          <w:b/>
          <w:color w:val="00336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Bank Mandiri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1"/>
        </w:numPr>
      </w:pPr>
      <w:r>
        <w:rPr>
          <w:b w:val="0"/>
          <w:i w:val="0"/>
        </w:rPr>
        <w:t>Prioritas implementasi untuk Bank Mandiri diarahkan agar tetap selaras dengan digital transaction growth nasabah dalam 4 bulan. | Kepatuhan &amp; risiko operasional (audit findings) membaik dalam 4 bulan..</w:t>
      </w:r>
    </w:p>
    <w:p>
      <w:pPr>
        <w:pStyle w:val="ListNumber"/>
        <w:spacing w:before="0" w:after="80"/>
        <w:numPr>
          <w:ilvl w:val="0"/>
          <w:numId w:val="11"/>
        </w:numPr>
      </w:pPr>
      <w:r>
        <w:rPr>
          <w:b w:val="0"/>
          <w:i w:val="0"/>
        </w:rPr>
        <w:t>Keputusan delivery dan quality gate pada bab ini harus konsisten dengan istilah kerja nasabah, core banking.</w:t>
      </w:r>
    </w:p>
    <w:p>
      <w:r>
        <w:br w:type="page"/>
      </w:r>
    </w:p>
    <w:p>
      <w:pPr>
        <w:pStyle w:val="Heading1"/>
        <w:jc w:val="center"/>
      </w:pPr>
      <w:r>
        <w:rPr>
          <w:color w:val="003366"/>
        </w:rPr>
        <w:t>BAB VII – RUANG LINGKUP PEKERJAAN</w:t>
      </w:r>
    </w:p>
    <w:p>
      <w:r>
        <w:rPr>
          <w:b w:val="0"/>
          <w:i w:val="0"/>
        </w:rPr>
        <w:t>Ruang lingkup pekerjaan untuk Bank Mandiri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00336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penguatan tata kelola delivery, percepatan keputusan lintas unit, dan penyusunan...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prioritas kerja masih tersebar, koordinasi bisnis-teknologi belum konsisten, dan dibutuhkan kejelasan ruang...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Bank Mandiri. Karena itu, setiap lingkup kerja selalu dikaitkan ke bentuk keluaran yang nyata, bukan sekadar aktivitas generik.</w:t>
      </w:r>
    </w:p>
    <w:p>
      <w:pPr>
        <w:pStyle w:val="Heading2"/>
      </w:pPr>
      <w:r>
        <w:rPr>
          <w:rFonts w:ascii="Arial" w:hAnsi="Arial"/>
          <w:b/>
          <w:color w:val="003366"/>
        </w:rPr>
        <w:t>7.2 Batasan Pekerjaan dan Asumsi</w:t>
      </w:r>
    </w:p>
    <w:p>
      <w:pPr>
        <w:pStyle w:val="ListNumber"/>
        <w:spacing w:before="0" w:after="80"/>
        <w:numPr>
          <w:ilvl w:val="0"/>
          <w:numId w:val="12"/>
        </w:numPr>
      </w:pPr>
      <w:r>
        <w:rPr>
          <w:b w:val="0"/>
          <w:i w:val="0"/>
        </w:rPr>
        <w:t>Prioritas implementasi untuk Bank Mandiri diarahkan agar tetap selaras dengan digital transaction growth nasabah dalam 4 bulan. | Kepatuhan &amp; risiko operasional (audit findings) membaik dalam 4 bulan..</w:t>
      </w:r>
    </w:p>
    <w:p>
      <w:pPr>
        <w:pStyle w:val="ListNumber"/>
        <w:spacing w:before="0" w:after="80"/>
        <w:numPr>
          <w:ilvl w:val="0"/>
          <w:numId w:val="12"/>
        </w:numPr>
      </w:pPr>
      <w:r>
        <w:rPr>
          <w:b w:val="0"/>
          <w:i w:val="0"/>
        </w:rPr>
        <w:t>Keputusan delivery dan quality gate pada bab ini harus konsisten dengan istilah kerja nasabah, core banking.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BAB VIII – TIMELINE PEKERJAAN</w:t>
      </w:r>
    </w:p>
    <w:p>
      <w:r>
        <w:drawing>
          <wp:inline xmlns:a="http://schemas.openxmlformats.org/drawingml/2006/main" xmlns:pic="http://schemas.openxmlformats.org/drawingml/2006/picture">
            <wp:extent cx="5486400" cy="248536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85365"/>
                    </a:xfrm>
                    <a:prstGeom prst="rect"/>
                  </pic:spPr>
                </pic:pic>
              </a:graphicData>
            </a:graphic>
          </wp:inline>
        </w:drawing>
      </w:r>
    </w:p>
    <w:p>
      <w:r>
        <w:rPr>
          <w:b w:val="0"/>
          <w:i w:val="0"/>
        </w:rPr>
        <w:t>Untuk Bank Mandiri, timeline pekerjaan disusun agar inisiatif Penguatan tata kelola delivery, percepatan keputusan lintas unit, dan penyusunan roadmap eksekusi yang lebih terukur untuk Bank Mandiri dapat bergerak stabil selama 4 Bulan. Rencana ini mengikat ritme delivery ke KPI seperti digital transaction growth nasabah dalam 4 bulan.</w:t>
      </w:r>
    </w:p>
    <w:p>
      <w:pPr>
        <w:pStyle w:val="Heading2"/>
      </w:pPr>
      <w:r>
        <w:rPr>
          <w:rFonts w:ascii="Arial" w:hAnsi="Arial"/>
          <w:b/>
          <w:color w:val="003366"/>
        </w:rPr>
        <w:t>8.1 Aktivitas per Fase</w:t>
      </w:r>
    </w:p>
    <w:p>
      <w:pPr>
        <w:pStyle w:val="ListNumber"/>
        <w:spacing w:before="0" w:after="80"/>
        <w:numPr>
          <w:ilvl w:val="0"/>
          <w:numId w:val="13"/>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13"/>
        </w:numPr>
      </w:pPr>
      <w:r>
        <w:rPr>
          <w:b/>
          <w:i w:val="0"/>
        </w:rPr>
        <w:t>Blueprint &amp; Mobilization</w:t>
      </w:r>
      <w:r>
        <w:rPr>
          <w:b w:val="0"/>
          <w:i w:val="0"/>
        </w:rPr>
        <w:t xml:space="preserve"> (Bulan 2): Tetapkan rancangan solusi, governance, dan model delivery. Output utama: blueprint, scope lock, dan mobilization plan.</w:t>
      </w:r>
    </w:p>
    <w:p>
      <w:pPr>
        <w:pStyle w:val="ListNumber"/>
        <w:spacing w:before="0" w:after="80"/>
        <w:numPr>
          <w:ilvl w:val="0"/>
          <w:numId w:val="13"/>
        </w:numPr>
      </w:pPr>
      <w:r>
        <w:rPr>
          <w:b/>
          <w:i w:val="0"/>
        </w:rPr>
        <w:t>Phased Rollout</w:t>
      </w:r>
      <w:r>
        <w:rPr>
          <w:b w:val="0"/>
          <w:i w:val="0"/>
        </w:rPr>
        <w:t xml:space="preserve"> (Bulan 3): Eksekusi perubahan prioritas melalui workstream terukur. Output utama: deliverable inti dan milestone rollout.</w:t>
      </w:r>
    </w:p>
    <w:p>
      <w:pPr>
        <w:pStyle w:val="ListNumber"/>
        <w:spacing w:before="0" w:after="80"/>
        <w:numPr>
          <w:ilvl w:val="0"/>
          <w:numId w:val="13"/>
        </w:numPr>
      </w:pPr>
      <w:r>
        <w:rPr>
          <w:b/>
          <w:i w:val="0"/>
        </w:rPr>
        <w:t>Hypercare &amp; Stabilization</w:t>
      </w:r>
      <w:r>
        <w:rPr>
          <w:b w:val="0"/>
          <w:i w:val="0"/>
        </w:rPr>
        <w:t xml:space="preserve"> (Bulan 4): Amankan adopsi, kualitas layanan, dan transisi operasi. Output utama: stabilization report dan next-step backlog.</w:t>
      </w:r>
    </w:p>
    <w:p>
      <w:pPr>
        <w:pStyle w:val="Heading2"/>
      </w:pPr>
      <w:r>
        <w:rPr>
          <w:rFonts w:ascii="Arial" w:hAnsi="Arial"/>
          <w:b/>
          <w:color w:val="003366"/>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Bank Mandiri.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opportunity</w:t>
            </w:r>
          </w:p>
        </w:tc>
      </w:tr>
      <w:tr>
        <w:tc>
          <w:tcPr>
            <w:tcW w:type="dxa" w:w="2340"/>
          </w:tcPr>
          <w:p>
            <w:r>
              <w:rPr>
                <w:b w:val="0"/>
                <w:i w:val="0"/>
              </w:rPr>
              <w:t>Blueprint &amp; Mobilization</w:t>
            </w:r>
          </w:p>
        </w:tc>
        <w:tc>
          <w:tcPr>
            <w:tcW w:type="dxa" w:w="2340"/>
          </w:tcPr>
          <w:p>
            <w:r>
              <w:rPr>
                <w:b w:val="0"/>
                <w:i w:val="0"/>
              </w:rPr>
              <w:t>Bulan 2</w:t>
            </w:r>
          </w:p>
        </w:tc>
        <w:tc>
          <w:tcPr>
            <w:tcW w:type="dxa" w:w="2340"/>
          </w:tcPr>
          <w:p>
            <w:r>
              <w:rPr>
                <w:b w:val="0"/>
                <w:i w:val="0"/>
              </w:rPr>
              <w:t>blueprint, scope lock, dan mobilization plan</w:t>
            </w:r>
          </w:p>
        </w:tc>
        <w:tc>
          <w:tcPr>
            <w:tcW w:type="dxa" w:w="2340"/>
          </w:tcPr>
          <w:p>
            <w:r>
              <w:rPr>
                <w:b w:val="0"/>
                <w:i w:val="0"/>
              </w:rPr>
              <w:t>Menjaga progres opportunity</w:t>
            </w:r>
          </w:p>
        </w:tc>
      </w:tr>
      <w:tr>
        <w:tc>
          <w:tcPr>
            <w:tcW w:type="dxa" w:w="2340"/>
          </w:tcPr>
          <w:p>
            <w:r>
              <w:rPr>
                <w:b w:val="0"/>
                <w:i w:val="0"/>
              </w:rPr>
              <w:t>Phased Rollout</w:t>
            </w:r>
          </w:p>
        </w:tc>
        <w:tc>
          <w:tcPr>
            <w:tcW w:type="dxa" w:w="2340"/>
          </w:tcPr>
          <w:p>
            <w:r>
              <w:rPr>
                <w:b w:val="0"/>
                <w:i w:val="0"/>
              </w:rPr>
              <w:t>Bulan 3</w:t>
            </w:r>
          </w:p>
        </w:tc>
        <w:tc>
          <w:tcPr>
            <w:tcW w:type="dxa" w:w="2340"/>
          </w:tcPr>
          <w:p>
            <w:r>
              <w:rPr>
                <w:b w:val="0"/>
                <w:i w:val="0"/>
              </w:rPr>
              <w:t>deliverable inti dan milestone rollout</w:t>
            </w:r>
          </w:p>
        </w:tc>
        <w:tc>
          <w:tcPr>
            <w:tcW w:type="dxa" w:w="2340"/>
          </w:tcPr>
          <w:p>
            <w:r>
              <w:rPr>
                <w:b w:val="0"/>
                <w:i w:val="0"/>
              </w:rPr>
              <w:t>Menjaga progres opportunity</w:t>
            </w:r>
          </w:p>
        </w:tc>
      </w:tr>
      <w:tr>
        <w:tc>
          <w:tcPr>
            <w:tcW w:type="dxa" w:w="2340"/>
          </w:tcPr>
          <w:p>
            <w:r>
              <w:rPr>
                <w:b w:val="0"/>
                <w:i w:val="0"/>
              </w:rPr>
              <w:t>Hypercare &amp; Stabilization</w:t>
            </w:r>
          </w:p>
        </w:tc>
        <w:tc>
          <w:tcPr>
            <w:tcW w:type="dxa" w:w="2340"/>
          </w:tcPr>
          <w:p>
            <w:r>
              <w:rPr>
                <w:b w:val="0"/>
                <w:i w:val="0"/>
              </w:rPr>
              <w:t>Bulan 4</w:t>
            </w:r>
          </w:p>
        </w:tc>
        <w:tc>
          <w:tcPr>
            <w:tcW w:type="dxa" w:w="2340"/>
          </w:tcPr>
          <w:p>
            <w:r>
              <w:rPr>
                <w:b w:val="0"/>
                <w:i w:val="0"/>
              </w:rPr>
              <w:t>stabilization report dan next-step backlog</w:t>
            </w:r>
          </w:p>
        </w:tc>
        <w:tc>
          <w:tcPr>
            <w:tcW w:type="dxa" w:w="2340"/>
          </w:tcPr>
          <w:p>
            <w:r>
              <w:rPr>
                <w:b w:val="0"/>
                <w:i w:val="0"/>
              </w:rPr>
              <w:t>Menjaga progres opportunity</w:t>
            </w:r>
          </w:p>
        </w:tc>
      </w:tr>
    </w:tbl>
    <w:p>
      <w:r>
        <w:rPr>
          <w:b w:val="0"/>
          <w:i w:val="0"/>
        </w:rPr>
        <w:t>Penjadwalan tidak hanya membagi durasi 4 Bulan ke dalam fase, tetapi juga memastikan dependensi, keputusan sponsor, dan kesiapan stakeholder bergerak dalam ritme yang sama. Untuk Bank Mandiri, pengaturan ini penting agar progres tidak sekadar terlihat aktif, melainkan benar-benar menjaga jalur pencapaian KPI seperti digital transaction growth nasabah dalam 4 bulan.</w:t>
      </w:r>
    </w:p>
    <w:p>
      <w:r>
        <w:br w:type="page"/>
      </w:r>
    </w:p>
    <w:p>
      <w:pPr>
        <w:pStyle w:val="Heading1"/>
        <w:jc w:val="center"/>
      </w:pPr>
      <w:r>
        <w:rPr>
          <w:color w:val="003366"/>
        </w:rPr>
        <w:t>BAB IX – TATA KELOLA PROYEK</w:t>
      </w:r>
    </w:p>
    <w:p>
      <w:r>
        <w:rPr>
          <w:b w:val="0"/>
          <w:i w:val="0"/>
        </w:rPr>
        <w:t>Tata kelola proyek untuk Bank Mandiri dirancang agar keputusan strategis, kontrol eksekusi, dan penanganan risiko berjalan dalam satu sistem kerja yang konsisten. Fokusnya adalah menjaga penguatan tata kelola delivery, percepatan keputusan lintas unit, dan penyusunan roadmap eksekusi yang lebih terukur untuk bank mandiri tetap selaras dengan KPI seperti digital transaction growth nasabah dalam 4 bulan.</w:t>
      </w:r>
    </w:p>
    <w:p>
      <w:pPr>
        <w:pStyle w:val="Heading2"/>
      </w:pPr>
      <w:r>
        <w:rPr>
          <w:rFonts w:ascii="Arial" w:hAnsi="Arial"/>
          <w:b/>
          <w:color w:val="003366"/>
        </w:rPr>
        <w:t>9.1 Mekanisme Pengambilan Keputusan</w:t>
      </w:r>
    </w:p>
    <w:p>
      <w:pPr>
        <w:pStyle w:val="ListNumber"/>
        <w:spacing w:before="0" w:after="80"/>
        <w:numPr>
          <w:ilvl w:val="0"/>
          <w:numId w:val="14"/>
        </w:numPr>
      </w:pPr>
      <w:r>
        <w:rPr>
          <w:b/>
          <w:i w:val="0"/>
        </w:rPr>
        <w:t>Steering Committee</w:t>
      </w:r>
      <w:r>
        <w:rPr>
          <w:b w:val="0"/>
          <w:i w:val="0"/>
        </w:rPr>
        <w:t xml:space="preserve"> menetapkan arah, prioritas, dan keputusan yang berdampak pada scope, biaya, atau timeline program Bank Mandiri.</w:t>
      </w:r>
    </w:p>
    <w:p>
      <w:pPr>
        <w:pStyle w:val="ListNumber"/>
        <w:spacing w:before="0" w:after="80"/>
        <w:numPr>
          <w:ilvl w:val="0"/>
          <w:numId w:val="1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00336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Bank Mandiri, pengendalian semacam ini penting karena program penguatan tata kelola delivery, percepatan keputusan lintas unit, dan penyusunan roadmap eksekusi yang lebih terukur untuk bank mandiri berpotensi melibatkan banyak dependency dan keputusan cepat. Oleh sebab itu, indikator kontrol tidak cukup hanya melihat status task, tetapi juga harus membaca dampaknya pada target bisnis, pengalaman nasabah, dan risiko operasional.</w:t>
      </w:r>
    </w:p>
    <w:p>
      <w:r>
        <w:rPr>
          <w:b w:val="0"/>
          <w:i w:val="0"/>
        </w:rPr>
        <w:t>Untuk Bank Mandiri, isi bab ini harus dibaca sebagai dasar keputusan kerja yang dapat ditindaklanjuti, bukan sekadar penjelasan konseptual. Karena itu, isi bab tetap diarahkan untuk menjaga relevansi terhadap KPI seperti digital transaction growth nasabah dalam 4 bulan.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BAB X – PROFIL PERUSAHAAN</w:t>
      </w:r>
    </w:p>
    <w:p>
      <w:r>
        <w:rPr>
          <w:b w:val="0"/>
          <w:i w:val="0"/>
        </w:rPr>
        <w:t>Profil perusahaan pada proposal ini tidak dimaksudkan sebagai brosur umum, melainkan sebagai bukti bahwa Inixindo Jogja memiliki modal kerja yang relevan untuk membantu Bank Mandiri. Yang ditekankan bukan hanya deskripsi perusahaan, tetapi keterkaitan antara kapabilitas, pengalaman serupa, dan bentuk dukungan yang dibutuhkan oleh inisiatif penguatan tata kelola delivery, percepatan keputusan lintas unit, dan penyusunan roadmap eksekusi yang lebih terukur untuk bank mandiri (Data Internal, 2026).</w:t>
      </w:r>
    </w:p>
    <w:p>
      <w:pPr>
        <w:pStyle w:val="Heading2"/>
      </w:pPr>
      <w:r>
        <w:rPr>
          <w:rFonts w:ascii="Arial" w:hAnsi="Arial"/>
          <w:b/>
          <w:color w:val="00336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nasabah, core banking, risk appetite.</w:t>
      </w:r>
    </w:p>
    <w:p>
      <w:pPr>
        <w:pStyle w:val="Heading2"/>
      </w:pPr>
      <w:r>
        <w:rPr>
          <w:rFonts w:ascii="Arial" w:hAnsi="Arial"/>
          <w:b/>
          <w:color w:val="00336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Bank Mandiri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5"/>
        </w:numPr>
      </w:pPr>
      <w:r>
        <w:rPr>
          <w:b w:val="0"/>
          <w:i w:val="0"/>
        </w:rPr>
        <w:t>Prioritas implementasi untuk Bank Mandiri diarahkan agar tetap selaras dengan digital transaction growth nasabah dalam 4 bulan. | Kepatuhan &amp; risiko operasional (audit findings) membaik dalam 4 bulan..</w:t>
      </w:r>
    </w:p>
    <w:p>
      <w:pPr>
        <w:pStyle w:val="ListNumber"/>
        <w:spacing w:before="0" w:after="80"/>
        <w:numPr>
          <w:ilvl w:val="0"/>
          <w:numId w:val="15"/>
        </w:numPr>
      </w:pPr>
      <w:r>
        <w:rPr>
          <w:b w:val="0"/>
          <w:i w:val="0"/>
        </w:rPr>
        <w:t>Keputusan delivery dan quality gate pada bab ini harus konsisten dengan istilah kerja nasabah, core banking.</w:t>
      </w:r>
    </w:p>
    <w:p>
      <w:r>
        <w:br w:type="page"/>
      </w:r>
    </w:p>
    <w:p>
      <w:pPr>
        <w:pStyle w:val="Heading1"/>
        <w:jc w:val="center"/>
      </w:pPr>
      <w:r>
        <w:rPr>
          <w:color w:val="003366"/>
        </w:rPr>
        <w:t>BAB XI – STRUKTUR &amp; TENAGA AHLI PROYEK</w:t>
      </w:r>
    </w:p>
    <w:p>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digital transaction growth nasabah dalam 4 bulan.</w:t>
      </w:r>
    </w:p>
    <w:p>
      <w:pPr>
        <w:pStyle w:val="Heading2"/>
      </w:pPr>
      <w:r>
        <w:rPr>
          <w:rFonts w:ascii="Arial" w:hAnsi="Arial"/>
          <w:b/>
          <w:color w:val="003366"/>
        </w:rPr>
        <w:t>11.1 Struktur Tim Proyek</w:t>
      </w:r>
    </w:p>
    <w:p>
      <w:pPr>
        <w:pStyle w:val="ListNumber"/>
        <w:spacing w:before="0" w:after="80"/>
        <w:numPr>
          <w:ilvl w:val="0"/>
          <w:numId w:val="1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16"/>
        </w:numPr>
      </w:pPr>
      <w:r>
        <w:rPr>
          <w:b/>
          <w:i w:val="0"/>
        </w:rPr>
        <w:t>Project Manager / PMO Lead</w:t>
      </w:r>
      <w:r>
        <w:rPr>
          <w:b w:val="0"/>
          <w:i w:val="0"/>
        </w:rPr>
        <w:t xml:space="preserve"> mengendalikan ritme kerja, milestone, dan quality gate.</w:t>
      </w:r>
    </w:p>
    <w:p>
      <w:pPr>
        <w:pStyle w:val="ListNumber"/>
        <w:spacing w:before="0" w:after="80"/>
        <w:numPr>
          <w:ilvl w:val="0"/>
          <w:numId w:val="16"/>
        </w:numPr>
      </w:pPr>
      <w:r>
        <w:rPr>
          <w:b/>
          <w:i w:val="0"/>
        </w:rPr>
        <w:t>Lead Fungsional / Solusi</w:t>
      </w:r>
      <w:r>
        <w:rPr>
          <w:b w:val="0"/>
          <w:i w:val="0"/>
        </w:rPr>
        <w:t xml:space="preserve"> menjaga kualitas desain solusi dan relevansi output kerja.</w:t>
      </w:r>
    </w:p>
    <w:p>
      <w:pPr>
        <w:pStyle w:val="ListNumber"/>
        <w:spacing w:before="0" w:after="80"/>
        <w:numPr>
          <w:ilvl w:val="0"/>
          <w:numId w:val="16"/>
        </w:numPr>
      </w:pPr>
      <w:r>
        <w:rPr>
          <w:b/>
          <w:i w:val="0"/>
        </w:rPr>
        <w:t>Reviewer Governance / Quality</w:t>
      </w:r>
      <w:r>
        <w:rPr>
          <w:b w:val="0"/>
          <w:i w:val="0"/>
        </w:rPr>
        <w:t xml:space="preserve"> memastikan disiplin review, sign-off, dan kontrol risiko.</w:t>
      </w:r>
    </w:p>
    <w:p>
      <w:pPr>
        <w:pStyle w:val="Heading2"/>
      </w:pPr>
      <w:r>
        <w:rPr>
          <w:rFonts w:ascii="Arial" w:hAnsi="Arial"/>
          <w:b/>
          <w:color w:val="00336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Bank Mandiri memperoleh gambaran yang lebih konkret mengenai siapa yang menjaga keputusan, siapa yang mengawal delivery, dan siapa yang mengamankan mutu hasil kerja. Pendekatan ini membuat bab tenaga ahli lebih mudah diaudit dan lebih meyakinkan bagi sponsor proyek. - Konteks Bank Mandiri tetap menjadi acuan utama agar isi bab tidak bergeser menjadi generik. - Setiap butir pada bab ini harus bisa ditelusuri ke KPI, risiko, atau keputusan kerja yang nyata.</w:t>
      </w:r>
    </w:p>
    <w:p>
      <w:r>
        <w:br w:type="page"/>
      </w:r>
    </w:p>
    <w:p>
      <w:pPr>
        <w:pStyle w:val="Heading1"/>
        <w:jc w:val="center"/>
      </w:pPr>
      <w:r>
        <w:rPr>
          <w:color w:val="003366"/>
        </w:rPr>
        <w:t>BAB XII – MODEL PEMBIAYAAN</w:t>
      </w:r>
    </w:p>
    <w:p>
      <w:r>
        <w:rPr>
          <w:b w:val="0"/>
          <w:i w:val="0"/>
        </w:rPr>
        <w:t>Model pembiayaan untuk Bank Mandiri disusun agar komitmen biaya, mekanisme pembayaran, dan batas ruang lingkup tetap jelas sejak awal. Tujuannya adalah menjaga proyek penguatan tata kelola delivery, percepatan keputusan lintas unit, dan penyusunan roadmap eksekusi yang lebih terukur untuk bank mandiri tetap dapat dieksekusi tanpa ambiguitas komersial, sambil memberi ruang kontrol terhadap perubahan yang benar-benar material dan memastikan investasi tetap tertaut pada manfaat yang dijanjikan: Inixindo Jogja menempatkan engagement Bank Mandiri sebagai upaya untuk mengubah kebutuhan klien menjadi program perubahan yang lebih terkendali, dengan memanfaatkan kapabilitas readiness assessment, rollout orchestration, change management, dan....</w:t>
      </w:r>
    </w:p>
    <w:p>
      <w:pPr>
        <w:pStyle w:val="Heading2"/>
      </w:pPr>
      <w:r>
        <w:rPr>
          <w:rFonts w:ascii="Arial" w:hAnsi="Arial"/>
          <w:b/>
          <w:color w:val="00336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4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4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17"/>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17"/>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17"/>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17"/>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003366"/>
        </w:rPr>
        <w:t>12.2 Model Pekerjaan dan Batasan Pekerjaan</w:t>
      </w:r>
    </w:p>
    <w:p>
      <w:r>
        <w:rPr>
          <w:b w:val="0"/>
          <w:i w:val="0"/>
        </w:rPr>
        <w:t>Model kerja dirancang agar ruang lingkup delivery tetap fokus pada kebutuhan opportunity dan KPI seperti digital transaction growth nasabah dalam 4 bulan. | Kepatuhan &amp; risiko operasional (audit findings) membaik dalam 4 bulan. Untuk Bank Mandiri,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br w:type="page"/>
      </w:r>
    </w:p>
    <w:p>
      <w:pPr>
        <w:pStyle w:val="Heading1"/>
        <w:jc w:val="center"/>
      </w:pPr>
      <w:r>
        <w:rPr>
          <w:color w:val="003366"/>
        </w:rPr>
        <w:t>PENUTUP &amp; APRESIASI KEMITRAAN</w:t>
      </w:r>
    </w:p>
    <w:p>
      <w:r>
        <w:rPr>
          <w:b w:val="0"/>
          <w:i w:val="0"/>
        </w:rPr>
        <w:t>Terima kasih atas kesempatan yang diberikan kepada Inixindo Jogja untuk menyusun proposal bagi Bank Mandiri. Kami memandang inisiatif penguatan tata kelola delivery, percepatan keputusan lintas unit, dan penyusunan roadmap eksekusi yang lebih terukur untuk bank mandiri bukan hanya sebagai pekerjaan delivery, tetapi sebagai fondasi kemitraan profesional yang harus terasa rapi, hangat, dan dapat dipertanggungjawabkan.</w:t>
      </w:r>
    </w:p>
    <w:p>
      <w:pPr>
        <w:pStyle w:val="Heading2"/>
      </w:pPr>
      <w:r>
        <w:rPr>
          <w:rFonts w:ascii="Arial" w:hAnsi="Arial"/>
          <w:b/>
          <w:color w:val="003366"/>
        </w:rPr>
        <w:t>Apresiasi dan Komitmen Kemitraan</w:t>
      </w:r>
    </w:p>
    <w:p>
      <w:pPr>
        <w:pStyle w:val="ListNumber"/>
        <w:spacing w:before="0" w:after="80"/>
        <w:numPr>
          <w:ilvl w:val="0"/>
          <w:numId w:val="18"/>
        </w:numPr>
      </w:pPr>
      <w:r>
        <w:rPr>
          <w:b w:val="0"/>
          <w:i w:val="0"/>
        </w:rPr>
        <w:t>Kami mengapresiasi keterbukaan Bank Mandiri dalam mengangkat konteks, tantangan, dan target bisnis yang menjadi dasar proposal ini.</w:t>
      </w:r>
    </w:p>
    <w:p>
      <w:pPr>
        <w:pStyle w:val="ListNumber"/>
        <w:spacing w:before="0" w:after="80"/>
        <w:numPr>
          <w:ilvl w:val="0"/>
          <w:numId w:val="1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18"/>
        </w:numPr>
      </w:pPr>
      <w:r>
        <w:rPr>
          <w:b w:val="0"/>
          <w:i w:val="0"/>
        </w:rPr>
        <w:t>Fokus awal kemitraan diarahkan pada prioritas seperti digital transaction growth nasabah dalam 4 bulan. | Kepatuhan &amp; risiko operasional (audit findings) membaik dalam 4 bulan. | Ketersediaan layanan digital meningkat dan insiden prioritas menurun dalam 4 bulan., dengan tata kelola dan ritme eksekusi yang stabil sejak kickoff.</w:t>
      </w:r>
    </w:p>
    <w:p>
      <w:pPr>
        <w:pStyle w:val="ListNumber"/>
        <w:spacing w:before="0" w:after="80"/>
        <w:numPr>
          <w:ilvl w:val="0"/>
          <w:numId w:val="18"/>
        </w:numPr>
      </w:pPr>
      <w:r>
        <w:rPr>
          <w:b w:val="0"/>
          <w:i w:val="0"/>
        </w:rPr>
        <w:t>Kami berharap pekerjaan penguatan tata kelola delivery, percepatan keputusan lintas unit, dan penyusunan roadmap eksekusi yang lebih terukur untuk bank mandiri dapat berjalan sebagai fondasi kolaborasi yang profesional, terukur, dan memberi hasil yang benar-benar dapat dipakai oleh Bank Mandiri.</w:t>
      </w:r>
    </w:p>
    <w:p>
      <w:pPr>
        <w:pStyle w:val="Heading2"/>
      </w:pPr>
      <w:r>
        <w:rPr>
          <w:rFonts w:ascii="Arial" w:hAnsi="Arial"/>
          <w:b/>
          <w:color w:val="003366"/>
        </w:rPr>
        <w:t>Informasi Kontak dan Langkah Lanjutan</w:t>
      </w:r>
    </w:p>
    <w:p>
      <w:r>
        <w:rPr>
          <w:b w:val="0"/>
          <w:i w:val="0"/>
        </w:rPr>
        <w:t>Untuk melanjutkan pembahasan, Inixindo Jogja siap menindaklanjuti review proposal, penajaman ruang lingkup, dan penyesuaian komersial yang diperlukan.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