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45920"/>
                    </a:xfrm>
                    <a:prstGeom prst="rect"/>
                  </pic:spPr>
                </pic:pic>
              </a:graphicData>
            </a:graphic>
          </wp:inline>
        </w:drawing>
      </w:r>
    </w:p>
    <w:p>
      <w:pPr>
        <w:jc w:val="center"/>
      </w:pPr>
      <w:r>
        <w:rPr>
          <w:b/>
          <w:color w:val="7A7676"/>
          <w:sz w:val="60"/>
        </w:rPr>
        <w:t>ARSITEKTUR PROPOSAL</w:t>
      </w:r>
    </w:p>
    <w:p>
      <w:pPr>
        <w:jc w:val="center"/>
      </w:pPr>
      <w:r>
        <w:rPr>
          <w:sz w:val="28"/>
        </w:rPr>
        <w:t>Konsultan – Implementation</w:t>
      </w:r>
    </w:p>
    <w:p/>
    <w:p>
      <w:pPr>
        <w:jc w:val="center"/>
      </w:pPr>
      <w:r>
        <w:rPr>
          <w:b/>
          <w:sz w:val="32"/>
        </w:rPr>
        <w:t>Untuk: Alfamart</w:t>
      </w:r>
    </w:p>
    <w:p>
      <w:pPr>
        <w:jc w:val="center"/>
      </w:pPr>
      <w:r>
        <w:t>Inisiatif: Penguatan tata kelola delivery, percepatan keputusan lintas unit, dan penyusunan roadmap eksekusi yang lebih terukur untuk Alfamart.</w:t>
      </w:r>
    </w:p>
    <w:p>
      <w:pPr>
        <w:jc w:val="center"/>
      </w:pPr>
      <w:r>
        <w:t>Durasi: 5 Bulan | Estimasi Investasi: Rp 500.000.000 | Tanggal: 31 March 2026</w:t>
      </w:r>
    </w:p>
    <w:p>
      <w:pPr>
        <w:jc w:val="center"/>
      </w:pPr>
      <w:r>
        <w:t>Disusun oleh Inixindo Jogja</w:t>
      </w:r>
    </w:p>
    <w:p>
      <w:r>
        <w:br w:type="page"/>
      </w:r>
    </w:p>
    <w:p>
      <w:pPr>
        <w:pStyle w:val="Heading1"/>
        <w:jc w:val="center"/>
      </w:pPr>
      <w:r>
        <w:rPr>
          <w:color w:val="7A7676"/>
        </w:rPr>
        <w:t>BAB I – KONTEKS KLIEN</w:t>
      </w:r>
    </w:p>
    <w:p>
      <w:r>
        <w:rPr>
          <w:b w:val="0"/>
          <w:i w:val="0"/>
        </w:rPr>
        <w:t>Bab pembuka untuk Alfamart perlu langsung memberi pegangan yang jelas mengenai konteks organisasi, tekanan bisnis, dan alasan mengapa jasa konsultasi dibutuhkan saat ini. Tujuannya bukan sekadar memperkenalkan klien, melainkan membantu sponsor membaca bahwa inisiatif penguatan tata kelola delivery, percepatan keputusan lintas unit, dan penyusunan roadmap eksekusi yang lebih terukur untuk alfamart memang memiliki kaitan langsung dengan hasil seperti KPI outcome bisnis utama Alfamart bergerak positif dalam 5 bulan. | Kualitas operasi (incident, SLA, lead time) membaik dalam 5 bulan. | Efektivitas eksekusi proyek (on-time, on-budget, on-scope) tercapai dalam 5 bulan.. Alfamart sudah memiliki konteks interaksi yang cukup untuk langsung masuk ke pembahasan kebutuhan prioritas dan keputusan kerja. Dalam mode penawaran, konteks ini dipakai untuk menunjukkan bahwa proposal sejak awal dibangun dari kebutuhan bisnis yang nyata dan bukan dari asumsi generik. Sebagai konteks eksternal yang sudah tervalidasi, 2025: ke Alfamart beli susu 2026: ke Alfamart nonton film? Yes, ini bukan... digital yang akan dibangun di gerai-gerai Alfamart. Konsep ini dirancang... (instagram.com, 2026). (Data Internal, 2026).</w:t>
      </w:r>
    </w:p>
    <w:p>
      <w:pPr>
        <w:pStyle w:val="Heading2"/>
      </w:pPr>
      <w:r>
        <w:rPr>
          <w:rFonts w:ascii="Arial" w:hAnsi="Arial"/>
          <w:b/>
          <w:color w:val="7A7676"/>
        </w:rPr>
        <w:t>1.1 Latar Belakang Organisasi Klien</w:t>
      </w:r>
    </w:p>
    <w:p>
      <w:r>
        <w:rPr>
          <w:b w:val="0"/>
          <w:i w:val="0"/>
        </w:rPr>
        <w:t>Alfamart saat ini berada pada fase yang menuntut keputusan kerja lebih tajam terhadap penguatan tata kelola delivery, percepatan keputusan lintas unit, dan penyusunan roadmap eksekusi yang lebih terukur untuk alfamart. Tekanan yang paling menonjol dapat dibaca dari prioritas kerja masih tersebar, koordinasi bisnis-teknologi belum konsisten, dan dibutuhkan kejelasan ruang lingkup, deliverable, serta governance proyek agar eksekusi lebih terkendali di alfamart. Karena itu, konteks organisasi perlu dibaca bukan hanya dari profil umum klien, tetapi dari tuntutan agar target seperti KPI outcome bisnis utama Alfamart bergerak positif dalam 5 bulan. | Kualitas operasi (incident, SLA, lead time) membaik dalam 5 bulan. | Efektivitas eksekusi proyek (on-time, on-budget, on-scope) tercapai dalam 5 bulan. tetap bergerak dalam horizon 5 Bulan. 1. Prioritas pertama adalah memastikan keputusan sponsor tetap terhubung ke kebutuhan inti opportunity. 2. Prioritas kedua adalah menjaga bahasa kerja akuntabilitas, SPBE, tata kelola agar forum bisnis, pelaksanaan, dan tata kelola membaca arah yang sama. 3. Prioritas ketiga adalah menyiapkan pola kerja yang memungkinkan Alfamart bergerak lebih terukur tanpa kehilangan kontrol terhadap risiko dan ketergantungan lintas fungsi. - Konteks ini menunjukkan bahwa tantangan klien bukan hanya pada aktivitas operasional, tetapi pada bagaimana keputusan, kontrol, dan pelaksanaan dipertemukan dalam satu ritme kerja. - Nilai yang ingin dijaga sejak awal adalah go-live yang lebih tertata, kualitas delivery yang lebih terjaga, transisi ke operasi yang lebih rapi, sehingga proposal harus berbicara langsung ke hasil yang ingin dirasakan sponsor. - Bagi Alfamart, pembacaan konteks seperti ini penting agar seluruh bab sesudahnya tetap tertaut pada kebutuhan yang sama dan tidak melebar ke narasi yang tidak relevan.</w:t>
      </w:r>
    </w:p>
    <w:p>
      <w:pPr>
        <w:pStyle w:val="Heading2"/>
      </w:pPr>
      <w:r>
        <w:rPr>
          <w:rFonts w:ascii="Arial" w:hAnsi="Arial"/>
          <w:b/>
          <w:color w:val="7A7676"/>
        </w:rPr>
        <w:t>1.2 Alasan Permintaan Jasa Konsultasi</w:t>
      </w:r>
    </w:p>
    <w:p>
      <w:r>
        <w:rPr>
          <w:b w:val="0"/>
          <w:i w:val="0"/>
        </w:rPr>
        <w:t>Permintaan jasa konsultasi muncul karena Alfamart membutuhkan mitra yang mampu menerjemahkan tekanan bisnis menjadi arah kerja, metode, dan keluaran yang lebih siap dijalankan. Dalam konteks ini, Inixindo Jogja diposisikan untuk membantu Alfamart mencapai inixindo jogja menempatkan engagement alfamart sebagai upaya untuk membawa rancangan solusi menjadi hasil implementasi yang siap dipakai, dengan memanfaatkan kapabilitas solution delivery, implementation control, uat readiness, dan handover... melalui kombinasi Kapabilitas layanan menyesuaikan kebutuhan proyek klien, 1. Design 2. Configuration 3. UAT 4. Go-Live 5. Handover, 1x PM, 1x Lead Engineer, 3x Implementers. Artinya, konsultasi dibutuhkan bukan untuk menambah lapisan presentasi, tetapi untuk membantu sponsor mengubah kebutuhan yang masih tersebar menjadi program kerja yang lebih rapi, dapat dipertanggungjawabkan, dan dapat diawasi. - Dukungan konsultasi diperlukan agar keputusan tentang ruang lingkup, prioritas, dan kontrol kerja tidak berubah-ubah ketika program mulai berjalan. - Perusahaan penyusun juga diharapkan membantu menjaga kualitas terjemahan dari kebutuhan bisnis ke langkah pelaksanaan, terutama pada tema nilai utama yang harus terasa bagi alfamart adalah kombinasi antara akuntabilitas keputusan, tata kelola program, dan kemampuan inixindo jogja untuk menjaga keputusan tetap selaras.... - Dengan keterlibatan yang tepat, Alfamart memperoleh mitra yang membantu menjaga konsistensi dari konteks awal, rumusan masalah, pendekatan, sampai bentuk keluaran yang benar-benar dapat dipakai. Pada akhirnya, alasan permintaan jasa konsultasi adalah kebutuhan untuk memastikan bahwa inisiatif penguatan tata kelola delivery, percepatan keputusan lintas unit, dan penyusunan roadmap eksekusi yang lebih terukur untuk alfamart tidak hanya terlihat baik di atas kertas, tetapi sungguh mempunyai jalur kerja yang rapi untuk diwujudkan. Bagi sponsor Alfamart, itulah fungsi utama proposal ini: memberi dasar keputusan yang lebih kuat sebelum organisasi bergerak lebih jauh.</w:t>
      </w:r>
    </w:p>
    <w:p>
      <w:r>
        <w:br w:type="page"/>
      </w:r>
    </w:p>
    <w:p>
      <w:pPr>
        <w:pStyle w:val="Heading1"/>
        <w:jc w:val="center"/>
      </w:pPr>
      <w:r>
        <w:rPr>
          <w:color w:val="7A7676"/>
        </w:rPr>
        <w:t>BAB II – PERMASALAHAN</w:t>
      </w:r>
    </w:p>
    <w:p>
      <w:r>
        <w:rPr>
          <w:b w:val="0"/>
          <w:i w:val="0"/>
        </w:rPr>
        <w:t>Bab permasalahan untuk Alfamart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w:t>
      </w:r>
    </w:p>
    <w:p>
      <w:pPr>
        <w:pStyle w:val="Heading2"/>
      </w:pPr>
      <w:r>
        <w:rPr>
          <w:rFonts w:ascii="Arial" w:hAnsi="Arial"/>
          <w:b/>
          <w:color w:val="7A7676"/>
        </w:rPr>
        <w:t>2.1 Kebutuhan atau Keinginan Klien</w:t>
      </w:r>
    </w:p>
    <w:p>
      <w:r>
        <w:rPr>
          <w:b w:val="0"/>
          <w:i w:val="0"/>
        </w:rPr>
        <w:t>Kebutuhan utama Alfamart pada proposal ini berputar pada upaya untuk opportunity. Di balik kebutuhan tersebut, sponsor sebenarnya sedang mencari cara agar keputusan, pelaksanaan, dan kontrol program tidak berjalan sendiri-sendiri.</w:t>
      </w:r>
    </w:p>
    <w:p>
      <w:pPr>
        <w:pStyle w:val="Heading2"/>
      </w:pPr>
      <w:r>
        <w:rPr>
          <w:rFonts w:ascii="Arial" w:hAnsi="Arial"/>
          <w:b/>
          <w:color w:val="7A7676"/>
        </w:rPr>
        <w:t>2.2 Konteks Bisnis</w:t>
      </w:r>
    </w:p>
    <w:p>
      <w:r>
        <w:rPr>
          <w:b w:val="0"/>
          <w:i w:val="0"/>
        </w:rPr>
        <w:t>Dari sisi konteks bisnis, Alfamart sedang berada pada situasi yang menuntut kejelasan prioritas atas penguatan tata kelola delivery, percepatan keputusan lintas unit, dan penyusunan roadmap eksekusi yang lebih terukur untuk alfamart. Tekanan yang muncul tidak berdiri sendiri, melainkan terkait dengan harapan sponsor terhadap go-live yang lebih tertata, kualitas delivery yang lebih terjaga, transisi ke operasi yang lebih rapi, kebutuhan menjaga ritme kerja akuntabilitas, SPBE, tata kelola, dan tuntutan agar investasi atau upaya yang dikeluarkan benar-benar menghasilkan perbaikan yang bisa dirasakan.</w:t>
      </w:r>
    </w:p>
    <w:p>
      <w:pPr>
        <w:pStyle w:val="Heading2"/>
      </w:pPr>
      <w:r>
        <w:rPr>
          <w:rFonts w:ascii="Arial" w:hAnsi="Arial"/>
          <w:b/>
          <w:color w:val="7A7676"/>
        </w:rPr>
        <w:t>2.3 Tantangan Utama</w:t>
      </w:r>
    </w:p>
    <w:p>
      <w:r>
        <w:rPr>
          <w:b w:val="0"/>
          <w:i w:val="0"/>
        </w:rPr>
        <w:t>Tantangan utama yang dihadapi Alfamart dapat diringkas ke dalam tiga hal yang saling terkait: 1. Menyatukan arah sponsor, tim inti, dan pelaksana kerja agar membaca tujuan yang sama terhadap penguatan tata kelola delivery, percepatan keputusan lintas unit, dan penyusunan roadmap eksekusi yang lebih terukur untuk alfamart.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7A7676"/>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w:t>
      </w:r>
    </w:p>
    <w:p>
      <w:pPr>
        <w:pStyle w:val="Heading2"/>
      </w:pPr>
      <w:r>
        <w:rPr>
          <w:rFonts w:ascii="Arial" w:hAnsi="Arial"/>
          <w:b/>
          <w:color w:val="7A7676"/>
        </w:rPr>
        <w:t>2.5 Implikasi / Risiko</w:t>
      </w:r>
    </w:p>
    <w:p>
      <w:r>
        <w:rPr>
          <w:b w:val="0"/>
          <w:i w:val="0"/>
        </w:rPr>
        <w:t>Bila kesenjangan tersebut dibiarkan, Alfamart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w:t>
      </w:r>
    </w:p>
    <w:p>
      <w:pPr>
        <w:pStyle w:val="Heading2"/>
      </w:pPr>
      <w:r>
        <w:rPr>
          <w:rFonts w:ascii="Arial" w:hAnsi="Arial"/>
          <w:b/>
          <w:color w:val="7A7676"/>
        </w:rPr>
        <w:t>2.6 Kebutuhan Solusi</w:t>
      </w:r>
    </w:p>
    <w:p>
      <w:r>
        <w:rPr>
          <w:b w:val="0"/>
          <w:i w:val="0"/>
        </w:rPr>
        <w:t>Dengan pola masalah seperti di atas, Alfamart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 Konteks Alfamart tetap menjadi acuan utama agar isi bab tidak bergeser menjadi generik. - Setiap butir pada bab ini harus bisa ditelusuri ke KPI, risiko, atau keputusan kerja yang nyata. - Anchor inisiatif yang tetap dirujuk adalah 2025: ke Alfamart beli susu 2026: ke Alfamart nonton film? Yes, ini bukan... digital yang akan dibangun di gerai-gerai Alfamart. Konsep ini dirancang... (instagram.com, 2026).</w:t>
      </w:r>
    </w:p>
    <w:p>
      <w:r>
        <w:br w:type="page"/>
      </w:r>
    </w:p>
    <w:p>
      <w:pPr>
        <w:pStyle w:val="Heading1"/>
        <w:jc w:val="center"/>
      </w:pPr>
      <w:r>
        <w:rPr>
          <w:color w:val="7A7676"/>
        </w:rPr>
        <w:t>BAB III – KLASIFIKASI KEBUTUHAN</w:t>
      </w:r>
    </w:p>
    <w:p>
      <w:r>
        <w:rPr>
          <w:b w:val="0"/>
          <w:i w:val="0"/>
        </w:rPr>
        <w:t>Bab klasifikasi kebutuhan untuk Alfamart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Opportunity</w:t>
      </w:r>
      <w:r>
        <w:rPr>
          <w:b w:val="0"/>
          <w:i w:val="0"/>
        </w:rPr>
        <w:t>.</w:t>
      </w:r>
    </w:p>
    <w:p>
      <w:pPr>
        <w:pStyle w:val="Heading2"/>
      </w:pPr>
      <w:r>
        <w:rPr>
          <w:rFonts w:ascii="Arial" w:hAnsi="Arial"/>
          <w:b/>
          <w:color w:val="7A7676"/>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Konteks pendukung</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Fokus utama</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Opportunity</w:t>
      </w:r>
      <w:r>
        <w:rPr>
          <w:b w:val="0"/>
          <w:i w:val="0"/>
        </w:rPr>
        <w:t>, sedangkan kebutuhan lain diposisikan sebagai konteks pendukung agar arah kerja tetap terkendali. Bagi Alfamart, penajaman ini penting supaya scope, metode kerja, dan bentuk keluaran tidak tersebar ke terlalu banyak sasaran sejak awal.</w:t>
      </w:r>
    </w:p>
    <w:p>
      <w:pPr>
        <w:pStyle w:val="Heading2"/>
      </w:pPr>
      <w:r>
        <w:rPr>
          <w:rFonts w:ascii="Arial" w:hAnsi="Arial"/>
          <w:b/>
          <w:color w:val="7A7676"/>
        </w:rPr>
        <w:t>3.2 Tujuan Utama dan Jenis Proyek</w:t>
      </w:r>
    </w:p>
    <w:p>
      <w:r>
        <w:rPr>
          <w:b w:val="0"/>
          <w:i w:val="0"/>
        </w:rPr>
        <w:t>Dengan fokus kebutuhan yang sudah mengerucut, tujuan utama proyek dapat ditegaskan sebagai upaya membantu Alfamart mencapai penguatan tata kelola delivery, percepatan keputusan lintas unit, dan penyusunan roadmap eksekusi yang lebih terukur untuk alfamart melalui model kerja</w:t>
      </w:r>
      <w:r>
        <w:rPr>
          <w:b/>
          <w:i w:val="0"/>
        </w:rPr>
        <w:t xml:space="preserve"> Implementation</w:t>
      </w:r>
      <w:r>
        <w:rPr>
          <w:b w:val="0"/>
          <w:i w:val="0"/>
        </w:rPr>
        <w:t>. Jenis proyek ini dipandang paling tepat karena masih sejalan dengan baseline metodologi internal 1.</w:t>
      </w:r>
    </w:p>
    <w:p>
      <w:pPr>
        <w:pStyle w:val="ListNumber"/>
        <w:spacing w:before="0" w:after="80"/>
        <w:numPr>
          <w:ilvl w:val="0"/>
          <w:numId w:val="10"/>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0"/>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 - Anchor inisiatif yang tetap dirujuk adalah 2025: ke Alfamart beli susu 2026: ke Alfamart nonton film? Yes, ini bukan... digital yang akan dibangun di gerai-gerai Alfamart. Konsep ini dirancang... (instagram.com, 2026).</w:t>
      </w:r>
    </w:p>
    <w:p>
      <w:r>
        <w:br w:type="page"/>
      </w:r>
    </w:p>
    <w:p>
      <w:pPr>
        <w:pStyle w:val="Heading1"/>
        <w:jc w:val="center"/>
      </w:pPr>
      <w:r>
        <w:rPr>
          <w:color w:val="7A7676"/>
        </w:rPr>
        <w:t>BAB IV – PENDEKATAN</w:t>
      </w:r>
    </w:p>
    <w:p>
      <w:r>
        <w:rPr>
          <w:b w:val="0"/>
          <w:i w:val="0"/>
        </w:rPr>
        <w:t>Pendekatan untuk Alfamart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7A7676"/>
        </w:rPr>
        <w:t>4.1 Acuan Prinsip/Kerangka/Teori/Regulasi</w:t>
      </w:r>
    </w:p>
    <w:p>
      <w:r>
        <w:rPr>
          <w:b w:val="0"/>
          <w:i w:val="0"/>
        </w:rPr>
        <w:t>Pemilihan acuan untuk Alfamart diarahkan agar kebutuhan opportunity dapat ditangani dengan bahasa kerja yang tetap konsisten terhadap akuntabilitas, SPBE, tata kelola.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implementation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implementation agar arah kerja tetap konsisten dari keputusan sampai eksekusi</w:t>
            </w:r>
          </w:p>
        </w:tc>
      </w:tr>
    </w:tbl>
    <w:p>
      <w:r>
        <w:rPr>
          <w:b w:val="0"/>
          <w:i w:val="0"/>
        </w:rPr>
        <w:t>Dengan acuan seperti di atas, Alfamart memperoleh pegangan yang jelas mengenai standar apa yang dipakai untuk menguji apakah solusi yang diusulkan memang selaras dengan konteks, risiko, dan ekspektasi hasil bisnis.</w:t>
      </w:r>
    </w:p>
    <w:p>
      <w:pPr>
        <w:pStyle w:val="Heading2"/>
      </w:pPr>
      <w:r>
        <w:rPr>
          <w:rFonts w:ascii="Arial" w:hAnsi="Arial"/>
          <w:b/>
          <w:color w:val="7A7676"/>
        </w:rPr>
        <w:t>4.2 Standar Penyelesaian Masalah</w:t>
      </w:r>
    </w:p>
    <w:p>
      <w:r>
        <w:rPr>
          <w:b w:val="0"/>
          <w:i w:val="0"/>
        </w:rPr>
        <w:t>Standar penyelesaian masalah pada proposal ini dijaga melalui alur kerja yang tertib, bukan lewat lompatan solusi. Bagi Alfamart,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KPI outcome bisnis utama Alfamart bergerak positif dalam 5 bulan. | Kualitas operasi (incident, SLA, lead time) membaik dalam 5 bulan. | Efektivitas eksekusi proyek (on-time, on-budget, on-scope) tercapai dalam 5 bulan., bukan melebar ke aktivitas yang tidak memberi dampak nyata.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V – METODOLOGI</w:t>
      </w:r>
    </w:p>
    <w:p>
      <w:r>
        <w:rPr>
          <w:b w:val="0"/>
          <w:i w:val="0"/>
        </w:rPr>
        <w:t>Metodologi untuk Alfamart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7A7676"/>
        </w:rPr>
        <w:t>5.1 Alasan Pemilihan Metodologi</w:t>
      </w:r>
    </w:p>
    <w:p>
      <w:r>
        <w:rPr>
          <w:b w:val="0"/>
          <w:i w:val="0"/>
        </w:rPr>
        <w:t>Metodologi dipilih dengan mempertimbangkan tipe proyek</w:t>
      </w:r>
      <w:r>
        <w:rPr>
          <w:b/>
          <w:i w:val="0"/>
        </w:rPr>
        <w:t xml:space="preserve"> Implementation</w:t>
      </w:r>
      <w:r>
        <w:rPr>
          <w:b w:val="0"/>
          <w:i w:val="0"/>
        </w:rPr>
        <w:t>, jenis layanan</w:t>
      </w:r>
      <w:r>
        <w:rPr>
          <w:b/>
          <w:i w:val="0"/>
        </w:rPr>
        <w:t xml:space="preserve"> Konsultan</w:t>
      </w:r>
      <w:r>
        <w:rPr>
          <w:b w:val="0"/>
          <w:i w:val="0"/>
        </w:rPr>
        <w:t>, horizon</w:t>
      </w:r>
      <w:r>
        <w:rPr>
          <w:b/>
          <w:i w:val="0"/>
        </w:rPr>
        <w:t xml:space="preserve"> 5 Bulan</w:t>
      </w:r>
      <w:r>
        <w:rPr>
          <w:b w:val="0"/>
          <w:i w:val="0"/>
        </w:rPr>
        <w:t>, serta kebutuhan Alfamart untuk menjaga go-live yang lebih tertata, kualitas delivery yang lebih terjaga, transisi ke operasi yang lebih rapi. Baseline internal yang digunakan adalah 1. design 2. configuration 3. uat 4. go-live 5. handover, namun penerapannya disesuaikan agar tetap relevan dengan konteks penguatan tata kelola delivery, percepatan keputusan lintas unit, dan penyusunan roadmap eksekusi yang lebih terukur untuk alfamart dan tekanan seperti prioritas kerja masih tersebar, koordinasi bisnis-teknologi belum konsisten, dan dibutuhkan kejelasan ruang lingkup, deliverable, serta governance proyek agar.... Bagi Alfamart,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alfamart sebagai upaya untuk membawa rancangan solusi menjadi hasil implementasi yang siap dipakai, dengan memanfaatkan kapabilitas solution delivery, implementation control, uat readiness, dan handover... tidak berhenti sebagai janji, melainkan turun menjadi jalur kerja yang dapat dioperasionalkan. - Dengan metodologi seperti ini, forum kerja Alfamart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7A7676"/>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Design</w:t>
            </w:r>
          </w:p>
        </w:tc>
        <w:tc>
          <w:tcPr>
            <w:tcW w:type="dxa" w:w="1872"/>
          </w:tcPr>
          <w:p>
            <w:r>
              <w:rPr>
                <w:b w:val="0"/>
                <w:i w:val="0"/>
              </w:rPr>
              <w:t>Bulan 1</w:t>
            </w:r>
          </w:p>
        </w:tc>
        <w:tc>
          <w:tcPr>
            <w:tcW w:type="dxa" w:w="1872"/>
          </w:tcPr>
          <w:p>
            <w:r>
              <w:rPr>
                <w:b w:val="0"/>
                <w:i w:val="0"/>
              </w:rPr>
              <w:t>Finalisasi desain rinci, integrasi, dan acceptance criteria.</w:t>
            </w:r>
          </w:p>
        </w:tc>
        <w:tc>
          <w:tcPr>
            <w:tcW w:type="dxa" w:w="1872"/>
          </w:tcPr>
          <w:p>
            <w:r>
              <w:rPr>
                <w:b w:val="0"/>
                <w:i w:val="0"/>
              </w:rPr>
              <w:t>solution design dan backlog implementasi</w:t>
            </w:r>
          </w:p>
        </w:tc>
        <w:tc>
          <w:tcPr>
            <w:tcW w:type="dxa" w:w="1872"/>
          </w:tcPr>
          <w:p>
            <w:r>
              <w:rPr>
                <w:b w:val="0"/>
                <w:i w:val="0"/>
              </w:rPr>
              <w:t>baseline kebutuhan dan agenda kerja disetujui sponsor</w:t>
            </w:r>
          </w:p>
        </w:tc>
      </w:tr>
      <w:tr>
        <w:tc>
          <w:tcPr>
            <w:tcW w:type="dxa" w:w="1872"/>
          </w:tcPr>
          <w:p>
            <w:r>
              <w:rPr>
                <w:b w:val="0"/>
                <w:i w:val="0"/>
              </w:rPr>
              <w:t>Build &amp; Configure</w:t>
            </w:r>
          </w:p>
        </w:tc>
        <w:tc>
          <w:tcPr>
            <w:tcW w:type="dxa" w:w="1872"/>
          </w:tcPr>
          <w:p>
            <w:r>
              <w:rPr>
                <w:b w:val="0"/>
                <w:i w:val="0"/>
              </w:rPr>
              <w:t>Bulan 2-3</w:t>
            </w:r>
          </w:p>
        </w:tc>
        <w:tc>
          <w:tcPr>
            <w:tcW w:type="dxa" w:w="1872"/>
          </w:tcPr>
          <w:p>
            <w:r>
              <w:rPr>
                <w:b w:val="0"/>
                <w:i w:val="0"/>
              </w:rPr>
              <w:t>Bangun komponen, konfigurasi, dan siapkan data/akses.</w:t>
            </w:r>
          </w:p>
        </w:tc>
        <w:tc>
          <w:tcPr>
            <w:tcW w:type="dxa" w:w="1872"/>
          </w:tcPr>
          <w:p>
            <w:r>
              <w:rPr>
                <w:b w:val="0"/>
                <w:i w:val="0"/>
              </w:rPr>
              <w:t>build package dan konfigurasi inti</w:t>
            </w:r>
          </w:p>
        </w:tc>
        <w:tc>
          <w:tcPr>
            <w:tcW w:type="dxa" w:w="1872"/>
          </w:tcPr>
          <w:p>
            <w:r>
              <w:rPr>
                <w:b w:val="0"/>
                <w:i w:val="0"/>
              </w:rPr>
              <w:t>hasil fase tervalidasi sebelum masuk ke fase berikutnya</w:t>
            </w:r>
          </w:p>
        </w:tc>
      </w:tr>
      <w:tr>
        <w:tc>
          <w:tcPr>
            <w:tcW w:type="dxa" w:w="1872"/>
          </w:tcPr>
          <w:p>
            <w:r>
              <w:rPr>
                <w:b w:val="0"/>
                <w:i w:val="0"/>
              </w:rPr>
              <w:t>UAT &amp; Readiness</w:t>
            </w:r>
          </w:p>
        </w:tc>
        <w:tc>
          <w:tcPr>
            <w:tcW w:type="dxa" w:w="1872"/>
          </w:tcPr>
          <w:p>
            <w:r>
              <w:rPr>
                <w:b w:val="0"/>
                <w:i w:val="0"/>
              </w:rPr>
              <w:t>Bulan 4</w:t>
            </w:r>
          </w:p>
        </w:tc>
        <w:tc>
          <w:tcPr>
            <w:tcW w:type="dxa" w:w="1872"/>
          </w:tcPr>
          <w:p>
            <w:r>
              <w:rPr>
                <w:b w:val="0"/>
                <w:i w:val="0"/>
              </w:rPr>
              <w:t>Uji end-to-end, tutup defect penting, dan siapkan go-live.</w:t>
            </w:r>
          </w:p>
        </w:tc>
        <w:tc>
          <w:tcPr>
            <w:tcW w:type="dxa" w:w="1872"/>
          </w:tcPr>
          <w:p>
            <w:r>
              <w:rPr>
                <w:b w:val="0"/>
                <w:i w:val="0"/>
              </w:rPr>
              <w:t>UAT sign-off dan readiness checklist</w:t>
            </w:r>
          </w:p>
        </w:tc>
        <w:tc>
          <w:tcPr>
            <w:tcW w:type="dxa" w:w="1872"/>
          </w:tcPr>
          <w:p>
            <w:r>
              <w:rPr>
                <w:b w:val="0"/>
                <w:i w:val="0"/>
              </w:rPr>
              <w:t>hasil fase tervalidasi sebelum masuk ke fase berikutnya</w:t>
            </w:r>
          </w:p>
        </w:tc>
      </w:tr>
      <w:tr>
        <w:tc>
          <w:tcPr>
            <w:tcW w:type="dxa" w:w="1872"/>
          </w:tcPr>
          <w:p>
            <w:r>
              <w:rPr>
                <w:b w:val="0"/>
                <w:i w:val="0"/>
              </w:rPr>
              <w:t>Go-Live &amp; Handover</w:t>
            </w:r>
          </w:p>
        </w:tc>
        <w:tc>
          <w:tcPr>
            <w:tcW w:type="dxa" w:w="1872"/>
          </w:tcPr>
          <w:p>
            <w:r>
              <w:rPr>
                <w:b w:val="0"/>
                <w:i w:val="0"/>
              </w:rPr>
              <w:t>Bulan 5</w:t>
            </w:r>
          </w:p>
        </w:tc>
        <w:tc>
          <w:tcPr>
            <w:tcW w:type="dxa" w:w="1872"/>
          </w:tcPr>
          <w:p>
            <w:r>
              <w:rPr>
                <w:b w:val="0"/>
                <w:i w:val="0"/>
              </w:rPr>
              <w:t>Jalankan cut-over, hypercare awal, dan transfer kontrol operasi.</w:t>
            </w:r>
          </w:p>
        </w:tc>
        <w:tc>
          <w:tcPr>
            <w:tcW w:type="dxa" w:w="1872"/>
          </w:tcPr>
          <w:p>
            <w:r>
              <w:rPr>
                <w:b w:val="0"/>
                <w:i w:val="0"/>
              </w:rPr>
              <w:t>go-live report dan handover pack</w:t>
            </w:r>
          </w:p>
        </w:tc>
        <w:tc>
          <w:tcPr>
            <w:tcW w:type="dxa" w:w="1872"/>
          </w:tcPr>
          <w:p>
            <w:r>
              <w:rPr>
                <w:b w:val="0"/>
                <w:i w:val="0"/>
              </w:rPr>
              <w:t>keluaran akhir diterima dan langkah lanjutan disepakati</w:t>
            </w:r>
          </w:p>
        </w:tc>
      </w:tr>
    </w:tbl>
    <w:p>
      <w:r>
        <w:rPr>
          <w:b w:val="0"/>
          <w:i w:val="0"/>
        </w:rPr>
        <w:t>Struktur fase di atas memastikan bahwa Alfamart selalu memiliki titik evaluasi yang jelas sebelum bergerak ke tahap berikutnya. Artinya, setiap keluaran bukan hanya artefak administratif, melainkan bahan keputusan yang dipakai untuk menguji apakah program masih berada pada jalur yang mendukung KPI seperti KPI outcome bisnis utama Alfamart bergerak positif dalam 5 bulan. | Kualitas operasi (incident, SLA, lead time) membaik dalam 5 bulan. | Efektivitas eksekusi proyek (on-time, on-budget, on-scope) tercapai dalam 5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Alfamart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jc w:val="center"/>
      </w:pPr>
      <w:r>
        <w:rPr>
          <w:color w:val="7A7676"/>
        </w:rPr>
        <w:t>BAB VI – SOLUTION DESIGN</w:t>
      </w:r>
    </w:p>
    <w:p>
      <w:r>
        <w:rPr>
          <w:b w:val="0"/>
          <w:i w:val="0"/>
        </w:rPr>
        <w:t>Solution design untuk Alfamart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penguatan tata kelola delivery, percepatan keputusan lintas unit, dan penyusunan roadmap eksekusi yang lebih terukur untuk alfamart secara nyata. Dengan pendekatan ini, desain solusi tetap terhubung ke KPI seperti KPI outcome bisnis utama Alfamart bergerak positif dalam 5 bulan. | Kualitas operasi (incident, SLA, lead time) membaik dalam 5 bulan. | Efektivitas eksekusi proyek (on-time, on-budget, on-scope) tercapai dalam 5 bulan., sekaligus menjaga nilai proposal tetap terasa konkret dan dapat dijalankan (Data Internal, 2026).</w:t>
      </w:r>
    </w:p>
    <w:p>
      <w:pPr>
        <w:pStyle w:val="Heading2"/>
      </w:pPr>
      <w:r>
        <w:rPr>
          <w:rFonts w:ascii="Arial" w:hAnsi="Arial"/>
          <w:b/>
          <w:color w:val="7A7676"/>
        </w:rPr>
        <w:t>6.1 Solusi/Output Metodologi yang Dibangun</w:t>
      </w:r>
    </w:p>
    <w:p>
      <w:r>
        <w:rPr>
          <w:b w:val="0"/>
          <w:i w:val="0"/>
        </w:rPr>
        <w:t>Solusi yang ditawarkan diarahkan untuk membantu Alfamart bergerak dari kebutuhan opportunity menuju kondisi target yang lebih terukur. Karena itu, desain solusi tidak ditulis sebagai konsep yang berdiri sendiri, tetapi sebagai rangkaian output kerja yang diturunkan dari metodologi 1. Design 2. Configuration 3. UAT 4. Go-Live 5. Handover. - Output utama dirancang agar keputusan sponsor, kontrol delivery, dan koordinasi stakeholder tetap bergerak dengan istilah kerja akuntabilitas, SPBE, tata kelola. - Target state yang dibangun harus tetap selaras dengan manfaat yang dijanjikan, terutama go-live yang lebih tertata, kualitas delivery yang lebih terjaga, transisi ke operasi yang lebih rapi. - Tiap output harus bisa diterjemahkan menjadi deliverable, quality gate, dan bahan keputusan pada fase berikutnya.</w:t>
      </w:r>
    </w:p>
    <w:p>
      <w:pPr>
        <w:pStyle w:val="Heading2"/>
      </w:pPr>
      <w:r>
        <w:rPr>
          <w:rFonts w:ascii="Arial" w:hAnsi="Arial"/>
          <w:b/>
          <w:color w:val="7A7676"/>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solution design, konfigurasi acuan, dan handover pack</w:t>
            </w:r>
          </w:p>
        </w:tc>
        <w:tc>
          <w:tcPr>
            <w:tcW w:type="dxa" w:w="3120"/>
          </w:tcPr>
          <w:p>
            <w:r>
              <w:rPr>
                <w:b w:val="0"/>
                <w:i w:val="0"/>
              </w:rPr>
              <w:t>menjadi referensi kerja yang siap dieksekusi</w:t>
            </w:r>
          </w:p>
        </w:tc>
      </w:tr>
      <w:tr>
        <w:tc>
          <w:tcPr>
            <w:tcW w:type="dxa" w:w="3120"/>
          </w:tcPr>
          <w:p>
            <w:r>
              <w:rPr>
                <w:b w:val="0"/>
                <w:i w:val="0"/>
              </w:rPr>
              <w:t>Pendampingan</w:t>
            </w:r>
          </w:p>
        </w:tc>
        <w:tc>
          <w:tcPr>
            <w:tcW w:type="dxa" w:w="3120"/>
          </w:tcPr>
          <w:p>
            <w:r>
              <w:rPr>
                <w:b w:val="0"/>
                <w:i w:val="0"/>
              </w:rPr>
              <w:t>pendampingan UAT, readiness review, dan issue resolution</w:t>
            </w:r>
          </w:p>
        </w:tc>
        <w:tc>
          <w:tcPr>
            <w:tcW w:type="dxa" w:w="3120"/>
          </w:tcPr>
          <w:p>
            <w:r>
              <w:rPr>
                <w:b w:val="0"/>
                <w:i w:val="0"/>
              </w:rPr>
              <w:t>memastikan kesiapan implementasi dan kualitas hasil</w:t>
            </w:r>
          </w:p>
        </w:tc>
      </w:tr>
      <w:tr>
        <w:tc>
          <w:tcPr>
            <w:tcW w:type="dxa" w:w="3120"/>
          </w:tcPr>
          <w:p>
            <w:r>
              <w:rPr>
                <w:b w:val="0"/>
                <w:i w:val="0"/>
              </w:rPr>
              <w:t>Kegiatan</w:t>
            </w:r>
          </w:p>
        </w:tc>
        <w:tc>
          <w:tcPr>
            <w:tcW w:type="dxa" w:w="3120"/>
          </w:tcPr>
          <w:p>
            <w:r>
              <w:rPr>
                <w:b w:val="0"/>
                <w:i w:val="0"/>
              </w:rPr>
              <w:t>workshop teknis, review design, dan sesi cut-over preparation</w:t>
            </w:r>
          </w:p>
        </w:tc>
        <w:tc>
          <w:tcPr>
            <w:tcW w:type="dxa" w:w="3120"/>
          </w:tcPr>
          <w:p>
            <w:r>
              <w:rPr>
                <w:b w:val="0"/>
                <w:i w:val="0"/>
              </w:rPr>
              <w:t>menjaga kesiapan tim dan alignment antar pihak</w:t>
            </w:r>
          </w:p>
        </w:tc>
      </w:tr>
      <w:tr>
        <w:tc>
          <w:tcPr>
            <w:tcW w:type="dxa" w:w="3120"/>
          </w:tcPr>
          <w:p>
            <w:r>
              <w:rPr>
                <w:b w:val="0"/>
                <w:i w:val="0"/>
              </w:rPr>
              <w:t>Implementation Support</w:t>
            </w:r>
          </w:p>
        </w:tc>
        <w:tc>
          <w:tcPr>
            <w:tcW w:type="dxa" w:w="3120"/>
          </w:tcPr>
          <w:p>
            <w:r>
              <w:rPr>
                <w:b w:val="0"/>
                <w:i w:val="0"/>
              </w:rPr>
              <w:t>go-live assistance dan early stabilization</w:t>
            </w:r>
          </w:p>
        </w:tc>
        <w:tc>
          <w:tcPr>
            <w:tcW w:type="dxa" w:w="3120"/>
          </w:tcPr>
          <w:p>
            <w:r>
              <w:rPr>
                <w:b w:val="0"/>
                <w:i w:val="0"/>
              </w:rPr>
              <w:t>membantu transisi ke operasi berjalan lebih rapi</w:t>
            </w:r>
          </w:p>
        </w:tc>
      </w:tr>
    </w:tbl>
    <w:p>
      <w:r>
        <w:rPr>
          <w:b w:val="0"/>
          <w:i w:val="0"/>
        </w:rPr>
        <w:t>Dengan struktur keluaran seperti ini, Alfamart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1"/>
        </w:numPr>
      </w:pPr>
      <w:r>
        <w:rPr>
          <w:b w:val="0"/>
          <w:i w:val="0"/>
        </w:rPr>
        <w:t>Keputusan delivery dan quality gate pada bab ini harus konsisten dengan istilah kerja akuntabilitas, SPBE.</w:t>
      </w:r>
    </w:p>
    <w:p>
      <w:r>
        <w:br w:type="page"/>
      </w:r>
    </w:p>
    <w:p>
      <w:pPr>
        <w:pStyle w:val="Heading1"/>
        <w:jc w:val="center"/>
      </w:pPr>
      <w:r>
        <w:rPr>
          <w:color w:val="7A7676"/>
        </w:rPr>
        <w:t>BAB VII – RUANG LINGKUP PEKERJAAN</w:t>
      </w:r>
    </w:p>
    <w:p>
      <w:r>
        <w:rPr>
          <w:b w:val="0"/>
          <w:i w:val="0"/>
        </w:rPr>
        <w:t>Ruang lingkup pekerjaan untuk Alfamart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A7676"/>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penguatan tata kelola delivery, percepatan keputusan lintas unit, dan penyusunan... dan ruang problem yang direspons sudah selaras</w:t>
            </w:r>
          </w:p>
        </w:tc>
        <w:tc>
          <w:tcPr>
            <w:tcW w:type="dxa" w:w="2340"/>
          </w:tcPr>
          <w:p>
            <w:r>
              <w:rPr>
                <w:b w:val="0"/>
                <w:i w:val="0"/>
              </w:rPr>
              <w:t>solution design, konfigurasi acuan, dan handover pack</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prioritas kerja masih tersebar, koordinasi bisnis-teknologi belum konsisten, dan dibutuhkan kejelasan ruang... ke solusi, prioritas, dan kontrol delivery</w:t>
            </w:r>
          </w:p>
        </w:tc>
        <w:tc>
          <w:tcPr>
            <w:tcW w:type="dxa" w:w="2340"/>
          </w:tcPr>
          <w:p>
            <w:r>
              <w:rPr>
                <w:b w:val="0"/>
                <w:i w:val="0"/>
              </w:rPr>
              <w:t>pendampingan UAT, readiness review, dan issue resolution</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workshop teknis, review design, dan sesi cut-over preparation</w:t>
            </w:r>
          </w:p>
        </w:tc>
        <w:tc>
          <w:tcPr>
            <w:tcW w:type="dxa" w:w="2340"/>
          </w:tcPr>
          <w:p>
            <w:r>
              <w:rPr>
                <w:b w:val="0"/>
                <w:i w:val="0"/>
              </w:rPr>
              <w:t>jadwal forum menyesuaikan kalender kerja dan kecepatan keputusan sponsor</w:t>
            </w:r>
          </w:p>
        </w:tc>
      </w:tr>
      <w:tr>
        <w:tc>
          <w:tcPr>
            <w:tcW w:type="dxa" w:w="2340"/>
          </w:tcPr>
          <w:p>
            <w:r>
              <w:rPr>
                <w:b w:val="0"/>
                <w:i w:val="0"/>
              </w:rPr>
              <w:t>Dukungan implementasi terbatas</w:t>
            </w:r>
          </w:p>
        </w:tc>
        <w:tc>
          <w:tcPr>
            <w:tcW w:type="dxa" w:w="2340"/>
          </w:tcPr>
          <w:p>
            <w:r>
              <w:rPr>
                <w:b w:val="0"/>
                <w:i w:val="0"/>
              </w:rPr>
              <w:t>memberi quality review dan support pada fase paling kritis dari eksekusi</w:t>
            </w:r>
          </w:p>
        </w:tc>
        <w:tc>
          <w:tcPr>
            <w:tcW w:type="dxa" w:w="2340"/>
          </w:tcPr>
          <w:p>
            <w:r>
              <w:rPr>
                <w:b w:val="0"/>
                <w:i w:val="0"/>
              </w:rPr>
              <w:t>go-live assistance dan early stabilization</w:t>
            </w:r>
          </w:p>
        </w:tc>
        <w:tc>
          <w:tcPr>
            <w:tcW w:type="dxa" w:w="2340"/>
          </w:tcPr>
          <w:p>
            <w:r>
              <w:rPr>
                <w:b w:val="0"/>
                <w:i w:val="0"/>
              </w:rPr>
              <w:t>bukan pelaksanaan implementasi penuh kecuali disepakati secara eksplisit</w:t>
            </w:r>
          </w:p>
        </w:tc>
      </w:tr>
    </w:tbl>
    <w:p>
      <w:r>
        <w:rPr>
          <w:b w:val="0"/>
          <w:i w:val="0"/>
        </w:rPr>
        <w:t>Ruang lingkup di atas dirancang agar tetap fokus pada kebutuhan opportunity dan tidak melebar ke area yang belum menjadi prioritas keputusan Alfamart. Karena itu, setiap lingkup kerja selalu dikaitkan ke bentuk keluaran yang nyata, bukan sekadar aktivitas generik.</w:t>
      </w:r>
    </w:p>
    <w:p>
      <w:pPr>
        <w:pStyle w:val="Heading2"/>
      </w:pPr>
      <w:r>
        <w:rPr>
          <w:rFonts w:ascii="Arial" w:hAnsi="Arial"/>
          <w:b/>
          <w:color w:val="7A7676"/>
        </w:rPr>
        <w:t>7.2 Batasan Pekerjaan dan Asumsi</w:t>
      </w:r>
    </w:p>
    <w:p>
      <w:pPr>
        <w:pStyle w:val="ListNumber"/>
        <w:spacing w:before="0" w:after="80"/>
        <w:numPr>
          <w:ilvl w:val="0"/>
          <w:numId w:val="12"/>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2"/>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VIII – TIMELINE PEKERJAAN</w:t>
      </w:r>
    </w:p>
    <w:p>
      <w:r>
        <w:drawing>
          <wp:inline xmlns:a="http://schemas.openxmlformats.org/drawingml/2006/main" xmlns:pic="http://schemas.openxmlformats.org/drawingml/2006/picture">
            <wp:extent cx="5486400" cy="259533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95336"/>
                    </a:xfrm>
                    <a:prstGeom prst="rect"/>
                  </pic:spPr>
                </pic:pic>
              </a:graphicData>
            </a:graphic>
          </wp:inline>
        </w:drawing>
      </w:r>
    </w:p>
    <w:p>
      <w:r>
        <w:rPr>
          <w:b w:val="0"/>
          <w:i w:val="0"/>
        </w:rPr>
        <w:t>Untuk Alfamart, timeline pekerjaan disusun agar inisiatif Penguatan tata kelola delivery, percepatan keputusan lintas unit, dan penyusunan roadmap eksekusi yang lebih terukur untuk Alfamart dapat bergerak stabil selama 5 Bulan. Rencana ini mengikat ritme delivery ke KPI seperti KPI outcome bisnis utama Alfamart bergerak positif dalam 5 bulan.</w:t>
      </w:r>
    </w:p>
    <w:p>
      <w:pPr>
        <w:pStyle w:val="Heading2"/>
      </w:pPr>
      <w:r>
        <w:rPr>
          <w:rFonts w:ascii="Arial" w:hAnsi="Arial"/>
          <w:b/>
          <w:color w:val="7A7676"/>
        </w:rPr>
        <w:t>8.1 Aktivitas per Fase</w:t>
      </w:r>
    </w:p>
    <w:p>
      <w:pPr>
        <w:pStyle w:val="ListNumber"/>
        <w:spacing w:before="0" w:after="80"/>
        <w:numPr>
          <w:ilvl w:val="0"/>
          <w:numId w:val="13"/>
        </w:numPr>
      </w:pPr>
      <w:r>
        <w:rPr>
          <w:b/>
          <w:i w:val="0"/>
        </w:rPr>
        <w:t>Design</w:t>
      </w:r>
      <w:r>
        <w:rPr>
          <w:b w:val="0"/>
          <w:i w:val="0"/>
        </w:rPr>
        <w:t xml:space="preserve"> (Bulan 1): Finalisasi desain rinci, integrasi, dan acceptance criteria. Output utama: solution design dan backlog implementasi.</w:t>
      </w:r>
    </w:p>
    <w:p>
      <w:pPr>
        <w:pStyle w:val="ListNumber"/>
        <w:spacing w:before="0" w:after="80"/>
        <w:numPr>
          <w:ilvl w:val="0"/>
          <w:numId w:val="13"/>
        </w:numPr>
      </w:pPr>
      <w:r>
        <w:rPr>
          <w:b/>
          <w:i w:val="0"/>
        </w:rPr>
        <w:t>Build &amp; Configure</w:t>
      </w:r>
      <w:r>
        <w:rPr>
          <w:b w:val="0"/>
          <w:i w:val="0"/>
        </w:rPr>
        <w:t xml:space="preserve"> (Bulan 2-3): Bangun komponen, konfigurasi, dan siapkan data/akses. Output utama: build package dan konfigurasi inti.</w:t>
      </w:r>
    </w:p>
    <w:p>
      <w:pPr>
        <w:pStyle w:val="ListNumber"/>
        <w:spacing w:before="0" w:after="80"/>
        <w:numPr>
          <w:ilvl w:val="0"/>
          <w:numId w:val="13"/>
        </w:numPr>
      </w:pPr>
      <w:r>
        <w:rPr>
          <w:b/>
          <w:i w:val="0"/>
        </w:rPr>
        <w:t>UAT &amp; Readiness</w:t>
      </w:r>
      <w:r>
        <w:rPr>
          <w:b w:val="0"/>
          <w:i w:val="0"/>
        </w:rPr>
        <w:t xml:space="preserve"> (Bulan 4): Uji end-to-end, tutup defect penting, dan siapkan go-live. Output utama: UAT sign-off dan readiness checklist.</w:t>
      </w:r>
    </w:p>
    <w:p>
      <w:pPr>
        <w:pStyle w:val="ListNumber"/>
        <w:spacing w:before="0" w:after="80"/>
        <w:numPr>
          <w:ilvl w:val="0"/>
          <w:numId w:val="13"/>
        </w:numPr>
      </w:pPr>
      <w:r>
        <w:rPr>
          <w:b/>
          <w:i w:val="0"/>
        </w:rPr>
        <w:t>Go-Live &amp; Handover</w:t>
      </w:r>
      <w:r>
        <w:rPr>
          <w:b w:val="0"/>
          <w:i w:val="0"/>
        </w:rPr>
        <w:t xml:space="preserve"> (Bulan 5): Jalankan cut-over, hypercare awal, dan transfer kontrol operasi. Output utama: go-live report dan handover pack.</w:t>
      </w:r>
    </w:p>
    <w:p>
      <w:pPr>
        <w:pStyle w:val="Heading2"/>
      </w:pPr>
      <w:r>
        <w:rPr>
          <w:rFonts w:ascii="Arial" w:hAnsi="Arial"/>
          <w:b/>
          <w:color w:val="7A7676"/>
        </w:rPr>
        <w:t>8.2 Waktu Pelaksanaan dan Deliverable Tiap Fase</w:t>
      </w:r>
    </w:p>
    <w:p>
      <w:r>
        <w:rPr>
          <w:b w:val="0"/>
          <w:i w:val="0"/>
        </w:rPr>
        <w:t>Pengaturan waktu tidak hanya membagi durasi, tetapi memastikan setiap deliverable langsung mendukung kebutuhan opportunity dan memberi bahan keputusan yang rapi pada forum pengarah proyek Alfamart.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Design</w:t>
            </w:r>
          </w:p>
        </w:tc>
        <w:tc>
          <w:tcPr>
            <w:tcW w:type="dxa" w:w="2340"/>
          </w:tcPr>
          <w:p>
            <w:r>
              <w:rPr>
                <w:b w:val="0"/>
                <w:i w:val="0"/>
              </w:rPr>
              <w:t>Bulan 1</w:t>
            </w:r>
          </w:p>
        </w:tc>
        <w:tc>
          <w:tcPr>
            <w:tcW w:type="dxa" w:w="2340"/>
          </w:tcPr>
          <w:p>
            <w:r>
              <w:rPr>
                <w:b w:val="0"/>
                <w:i w:val="0"/>
              </w:rPr>
              <w:t>solution design dan backlog implementasi</w:t>
            </w:r>
          </w:p>
        </w:tc>
        <w:tc>
          <w:tcPr>
            <w:tcW w:type="dxa" w:w="2340"/>
          </w:tcPr>
          <w:p>
            <w:r>
              <w:rPr>
                <w:b w:val="0"/>
                <w:i w:val="0"/>
              </w:rPr>
              <w:t>Menjaga progres opportunity</w:t>
            </w:r>
          </w:p>
        </w:tc>
      </w:tr>
      <w:tr>
        <w:tc>
          <w:tcPr>
            <w:tcW w:type="dxa" w:w="2340"/>
          </w:tcPr>
          <w:p>
            <w:r>
              <w:rPr>
                <w:b w:val="0"/>
                <w:i w:val="0"/>
              </w:rPr>
              <w:t>Build &amp; Configure</w:t>
            </w:r>
          </w:p>
        </w:tc>
        <w:tc>
          <w:tcPr>
            <w:tcW w:type="dxa" w:w="2340"/>
          </w:tcPr>
          <w:p>
            <w:r>
              <w:rPr>
                <w:b w:val="0"/>
                <w:i w:val="0"/>
              </w:rPr>
              <w:t>Bulan 2-3</w:t>
            </w:r>
          </w:p>
        </w:tc>
        <w:tc>
          <w:tcPr>
            <w:tcW w:type="dxa" w:w="2340"/>
          </w:tcPr>
          <w:p>
            <w:r>
              <w:rPr>
                <w:b w:val="0"/>
                <w:i w:val="0"/>
              </w:rPr>
              <w:t>build package dan konfigurasi inti</w:t>
            </w:r>
          </w:p>
        </w:tc>
        <w:tc>
          <w:tcPr>
            <w:tcW w:type="dxa" w:w="2340"/>
          </w:tcPr>
          <w:p>
            <w:r>
              <w:rPr>
                <w:b w:val="0"/>
                <w:i w:val="0"/>
              </w:rPr>
              <w:t>Menjaga progres opportunity</w:t>
            </w:r>
          </w:p>
        </w:tc>
      </w:tr>
      <w:tr>
        <w:tc>
          <w:tcPr>
            <w:tcW w:type="dxa" w:w="2340"/>
          </w:tcPr>
          <w:p>
            <w:r>
              <w:rPr>
                <w:b w:val="0"/>
                <w:i w:val="0"/>
              </w:rPr>
              <w:t>UAT &amp; Readiness</w:t>
            </w:r>
          </w:p>
        </w:tc>
        <w:tc>
          <w:tcPr>
            <w:tcW w:type="dxa" w:w="2340"/>
          </w:tcPr>
          <w:p>
            <w:r>
              <w:rPr>
                <w:b w:val="0"/>
                <w:i w:val="0"/>
              </w:rPr>
              <w:t>Bulan 4</w:t>
            </w:r>
          </w:p>
        </w:tc>
        <w:tc>
          <w:tcPr>
            <w:tcW w:type="dxa" w:w="2340"/>
          </w:tcPr>
          <w:p>
            <w:r>
              <w:rPr>
                <w:b w:val="0"/>
                <w:i w:val="0"/>
              </w:rPr>
              <w:t>UAT sign-off dan readiness checklist</w:t>
            </w:r>
          </w:p>
        </w:tc>
        <w:tc>
          <w:tcPr>
            <w:tcW w:type="dxa" w:w="2340"/>
          </w:tcPr>
          <w:p>
            <w:r>
              <w:rPr>
                <w:b w:val="0"/>
                <w:i w:val="0"/>
              </w:rPr>
              <w:t>Menjaga progres opportunity</w:t>
            </w:r>
          </w:p>
        </w:tc>
      </w:tr>
      <w:tr>
        <w:tc>
          <w:tcPr>
            <w:tcW w:type="dxa" w:w="2340"/>
          </w:tcPr>
          <w:p>
            <w:r>
              <w:rPr>
                <w:b w:val="0"/>
                <w:i w:val="0"/>
              </w:rPr>
              <w:t>Go-Live &amp; Handover</w:t>
            </w:r>
          </w:p>
        </w:tc>
        <w:tc>
          <w:tcPr>
            <w:tcW w:type="dxa" w:w="2340"/>
          </w:tcPr>
          <w:p>
            <w:r>
              <w:rPr>
                <w:b w:val="0"/>
                <w:i w:val="0"/>
              </w:rPr>
              <w:t>Bulan 5</w:t>
            </w:r>
          </w:p>
        </w:tc>
        <w:tc>
          <w:tcPr>
            <w:tcW w:type="dxa" w:w="2340"/>
          </w:tcPr>
          <w:p>
            <w:r>
              <w:rPr>
                <w:b w:val="0"/>
                <w:i w:val="0"/>
              </w:rPr>
              <w:t>go-live report dan handover pack</w:t>
            </w:r>
          </w:p>
        </w:tc>
        <w:tc>
          <w:tcPr>
            <w:tcW w:type="dxa" w:w="2340"/>
          </w:tcPr>
          <w:p>
            <w:r>
              <w:rPr>
                <w:b w:val="0"/>
                <w:i w:val="0"/>
              </w:rPr>
              <w:t>Menjaga progres opportunity</w:t>
            </w:r>
          </w:p>
        </w:tc>
      </w:tr>
      <w:tr>
        <w:tc>
          <w:tcPr>
            <w:tcW w:type="dxa" w:w="2340"/>
          </w:tcPr>
          <w:p>
            <w:r>
              <w:rPr>
                <w:b w:val="0"/>
                <w:i w:val="0"/>
              </w:rPr>
              <w:t>- Konteks Alfamart tetap menjadi acuan utama agar isi bab tidak bergeser menjadi generik.</w:t>
            </w:r>
          </w:p>
        </w:tc>
        <w:tc>
          <w:tcPr>
            <w:tcW w:type="dxa" w:w="2340"/>
          </w:tcPr>
          <w:p/>
        </w:tc>
        <w:tc>
          <w:tcPr>
            <w:tcW w:type="dxa" w:w="2340"/>
          </w:tcPr>
          <w:p/>
        </w:tc>
        <w:tc>
          <w:tcPr>
            <w:tcW w:type="dxa" w:w="2340"/>
          </w:tcPr>
          <w:p/>
        </w:tc>
      </w:tr>
      <w:tr>
        <w:tc>
          <w:tcPr>
            <w:tcW w:type="dxa" w:w="2340"/>
          </w:tcPr>
          <w:p>
            <w:r>
              <w:rPr>
                <w:b w:val="0"/>
                <w:i w:val="0"/>
              </w:rPr>
              <w:t>- Setiap butir pada bab ini harus bisa ditelusuri ke KPI, risiko, atau keputusan kerja yang nyata.</w:t>
            </w:r>
          </w:p>
        </w:tc>
        <w:tc>
          <w:tcPr>
            <w:tcW w:type="dxa" w:w="2340"/>
          </w:tcPr>
          <w:p/>
        </w:tc>
        <w:tc>
          <w:tcPr>
            <w:tcW w:type="dxa" w:w="2340"/>
          </w:tcPr>
          <w:p/>
        </w:tc>
        <w:tc>
          <w:tcPr>
            <w:tcW w:type="dxa" w:w="2340"/>
          </w:tcPr>
          <w:p/>
        </w:tc>
      </w:tr>
    </w:tbl>
    <w:p>
      <w:r>
        <w:br w:type="page"/>
      </w:r>
    </w:p>
    <w:p>
      <w:pPr>
        <w:pStyle w:val="Heading1"/>
        <w:jc w:val="center"/>
      </w:pPr>
      <w:r>
        <w:rPr>
          <w:color w:val="7A7676"/>
        </w:rPr>
        <w:t>BAB IX – TATA KELOLA PROYEK</w:t>
      </w:r>
    </w:p>
    <w:p>
      <w:r>
        <w:rPr>
          <w:b w:val="0"/>
          <w:i w:val="0"/>
        </w:rPr>
        <w:t>Tata kelola proyek untuk Alfamart dirancang agar keputusan strategis, kontrol eksekusi, dan penanganan risiko berjalan dalam satu sistem kerja yang konsisten. Fokusnya adalah menjaga penguatan tata kelola delivery, percepatan keputusan lintas unit, dan penyusunan roadmap eksekusi yang lebih terukur untuk alfamart tetap selaras dengan KPI seperti KPI outcome bisnis utama Alfamart bergerak positif dalam 5 bulan.</w:t>
      </w:r>
    </w:p>
    <w:p>
      <w:pPr>
        <w:pStyle w:val="Heading2"/>
      </w:pPr>
      <w:r>
        <w:rPr>
          <w:rFonts w:ascii="Arial" w:hAnsi="Arial"/>
          <w:b/>
          <w:color w:val="7A7676"/>
        </w:rPr>
        <w:t>9.1 Mekanisme Pengambilan Keputusan</w:t>
      </w:r>
    </w:p>
    <w:p>
      <w:pPr>
        <w:pStyle w:val="ListNumber"/>
        <w:spacing w:before="0" w:after="80"/>
        <w:numPr>
          <w:ilvl w:val="0"/>
          <w:numId w:val="14"/>
        </w:numPr>
      </w:pPr>
      <w:r>
        <w:rPr>
          <w:b/>
          <w:i w:val="0"/>
        </w:rPr>
        <w:t>Steering Committee</w:t>
      </w:r>
      <w:r>
        <w:rPr>
          <w:b w:val="0"/>
          <w:i w:val="0"/>
        </w:rPr>
        <w:t xml:space="preserve"> menetapkan arah, prioritas, dan keputusan yang berdampak pada scope, biaya, atau timeline program Alfamart.</w:t>
      </w:r>
    </w:p>
    <w:p>
      <w:pPr>
        <w:pStyle w:val="ListNumber"/>
        <w:spacing w:before="0" w:after="80"/>
        <w:numPr>
          <w:ilvl w:val="0"/>
          <w:numId w:val="1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A7676"/>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Alfamart, pengendalian semacam ini penting karena program penguatan tata kelola delivery, percepatan keputusan lintas unit, dan penyusunan roadmap eksekusi yang lebih terukur untuk alfamart berpotensi melibatkan banyak dependency dan keputusan cepat. Oleh sebab itu, indikator kontrol tidak cukup hanya melihat status task, tetapi juga harus membaca dampaknya pada target bisnis, pengalaman nasabah, dan risiko operasional. - Konteks Alfamart tetap menjadi acuan utama agar isi bab tidak bergeser menjadi generik. - Setiap butir pada bab ini harus bisa ditelusuri ke KPI, risiko, atau keputusan kerja yang nyata.</w:t>
      </w:r>
    </w:p>
    <w:p>
      <w:r>
        <w:rPr>
          <w:b w:val="0"/>
          <w:i w:val="0"/>
        </w:rPr>
        <w:t>Untuk Alfamart, isi bab ini harus dibaca sebagai dasar keputusan kerja yang dapat ditindaklanjuti, bukan sekadar penjelasan konseptual. Karena itu, isi bab tetap diarahkan untuk menjaga relevansi terhadap KPI seperti KPI outcome bisnis utama Alfamart bergerak positif dalam 5 bulan. | Kualitas operasi (incident, SLA, lead time) membaik dalam 5 bulan. dan istilah kerja akuntabilitas, SPBE.</w:t>
      </w:r>
    </w:p>
    <w:p>
      <w:r>
        <w:br w:type="page"/>
      </w:r>
    </w:p>
    <w:p>
      <w:pPr>
        <w:pStyle w:val="Heading1"/>
        <w:jc w:val="center"/>
      </w:pPr>
      <w:r>
        <w:rPr>
          <w:color w:val="7A7676"/>
        </w:rPr>
        <w:t>BAB X – PROFIL PERUSAHAAN</w:t>
      </w:r>
    </w:p>
    <w:p>
      <w:r>
        <w:rPr>
          <w:b w:val="0"/>
          <w:i w:val="0"/>
        </w:rPr>
        <w:t>Profil perusahaan pada proposal ini tidak dimaksudkan sebagai brosur umum, melainkan sebagai bukti bahwa Inixindo Jogja memiliki modal kerja yang relevan untuk membantu Alfamart. Yang ditekankan bukan hanya deskripsi perusahaan, tetapi keterkaitan antara kapabilitas, pengalaman serupa, dan bentuk dukungan yang dibutuhkan oleh inisiatif penguatan tata kelola delivery, percepatan keputusan lintas unit, dan penyusunan roadmap eksekusi yang lebih terukur untuk alfamart (Data Internal, 2026).</w:t>
      </w:r>
    </w:p>
    <w:p>
      <w:pPr>
        <w:pStyle w:val="Heading2"/>
      </w:pPr>
      <w:r>
        <w:rPr>
          <w:rFonts w:ascii="Arial" w:hAnsi="Arial"/>
          <w:b/>
          <w:color w:val="7A7676"/>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A7676"/>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implementation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Design 2. Configuration 3. UAT 4. Go-Live 5. Handover, 1x PM, 1x Lead Engineer, 3x Implementers</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Alfamart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b w:val="0"/>
          <w:i w:val="0"/>
        </w:rPr>
        <w:t>Prioritas implementasi untuk Alfamart diarahkan agar tetap selaras dengan KPI outcome bisnis utama Alfamart bergerak positif dalam 5 bulan. | Kualitas operasi (incident, SLA, lead time) membaik dalam 5 bulan..</w:t>
      </w:r>
    </w:p>
    <w:p>
      <w:pPr>
        <w:pStyle w:val="ListNumber"/>
        <w:spacing w:before="0" w:after="80"/>
        <w:numPr>
          <w:ilvl w:val="0"/>
          <w:numId w:val="15"/>
        </w:numPr>
      </w:pPr>
      <w:r>
        <w:rPr>
          <w:b w:val="0"/>
          <w:i w:val="0"/>
        </w:rPr>
        <w:t>Keputusan delivery dan quality gate pada bab ini harus konsisten dengan istilah kerja akuntabilitas, SPBE.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XI – STRUKTUR &amp; TENAGA AHLI PROYEK</w:t>
      </w:r>
    </w:p>
    <w:p>
      <w:r>
        <w:rPr>
          <w:b w:val="0"/>
          <w:i w:val="0"/>
        </w:rPr>
        <w:t>Struktur tim proyek untuk Alfamart dibentuk agar pengambilan keputusan, pengawasan mutu, dan eksekusi lapangan bergerak seirama. Komposisi tim tidak diperlakukan sebagai daftar jabatan semata, tetapi sebagai mekanisme untuk menjaga kualitas output terhadap target KPI outcome bisnis utama Alfamart bergerak positif dalam 5 bulan.</w:t>
      </w:r>
    </w:p>
    <w:p>
      <w:pPr>
        <w:pStyle w:val="Heading2"/>
      </w:pPr>
      <w:r>
        <w:rPr>
          <w:rFonts w:ascii="Arial" w:hAnsi="Arial"/>
          <w:b/>
          <w:color w:val="7A7676"/>
        </w:rPr>
        <w:t>11.1 Struktur Tim Proyek</w:t>
      </w:r>
    </w:p>
    <w:p>
      <w:pPr>
        <w:pStyle w:val="ListNumber"/>
        <w:spacing w:before="0" w:after="80"/>
        <w:numPr>
          <w:ilvl w:val="0"/>
          <w:numId w:val="1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6"/>
        </w:numPr>
      </w:pPr>
      <w:r>
        <w:rPr>
          <w:b/>
          <w:i w:val="0"/>
        </w:rPr>
        <w:t>Project Manager / PMO Lead</w:t>
      </w:r>
      <w:r>
        <w:rPr>
          <w:b w:val="0"/>
          <w:i w:val="0"/>
        </w:rPr>
        <w:t xml:space="preserve"> mengendalikan ritme kerja, milestone, dan quality gate.</w:t>
      </w:r>
    </w:p>
    <w:p>
      <w:pPr>
        <w:pStyle w:val="ListNumber"/>
        <w:spacing w:before="0" w:after="80"/>
        <w:numPr>
          <w:ilvl w:val="0"/>
          <w:numId w:val="16"/>
        </w:numPr>
      </w:pPr>
      <w:r>
        <w:rPr>
          <w:b/>
          <w:i w:val="0"/>
        </w:rPr>
        <w:t>Lead Fungsional / Solusi</w:t>
      </w:r>
      <w:r>
        <w:rPr>
          <w:b w:val="0"/>
          <w:i w:val="0"/>
        </w:rPr>
        <w:t xml:space="preserve"> menjaga kualitas desain solusi dan relevansi output kerja.</w:t>
      </w:r>
    </w:p>
    <w:p>
      <w:pPr>
        <w:pStyle w:val="ListNumber"/>
        <w:spacing w:before="0" w:after="80"/>
        <w:numPr>
          <w:ilvl w:val="0"/>
          <w:numId w:val="16"/>
        </w:numPr>
      </w:pPr>
      <w:r>
        <w:rPr>
          <w:b/>
          <w:i w:val="0"/>
        </w:rPr>
        <w:t>Reviewer Governance / Quality</w:t>
      </w:r>
      <w:r>
        <w:rPr>
          <w:b w:val="0"/>
          <w:i w:val="0"/>
        </w:rPr>
        <w:t xml:space="preserve"> memastikan disiplin review, sign-off, dan kontrol risiko.</w:t>
      </w:r>
    </w:p>
    <w:p>
      <w:pPr>
        <w:pStyle w:val="Heading2"/>
      </w:pPr>
      <w:r>
        <w:rPr>
          <w:rFonts w:ascii="Arial" w:hAnsi="Arial"/>
          <w:b/>
          <w:color w:val="7A7676"/>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implementation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PM, 1x Lead Engineer, 3x Implementers</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Alfamart memperoleh gambaran yang lebih konkret mengenai siapa yang menjaga keputusan, siapa yang mengawal delivery, dan siapa yang mengamankan mutu hasil kerja. Pendekatan ini membuat bab tenaga ahli lebih mudah diaudit dan lebih meyakinkan bagi sponsor proyek.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BAB XII – MODEL PEMBIAYAAN</w:t>
      </w:r>
    </w:p>
    <w:p>
      <w:r>
        <w:rPr>
          <w:b w:val="0"/>
          <w:i w:val="0"/>
        </w:rPr>
        <w:t>Model pembiayaan untuk Alfamart disusun agar komitmen biaya, mekanisme pembayaran, dan batas ruang lingkup tetap jelas sejak awal. Tujuannya adalah menjaga proyek penguatan tata kelola delivery, percepatan keputusan lintas unit, dan penyusunan roadmap eksekusi yang lebih terukur untuk alfamart tetap dapat dieksekusi tanpa ambiguitas komersial, sambil memberi ruang kontrol terhadap perubahan yang benar-benar material dan memastikan investasi tetap tertaut pada manfaat yang dijanjikan: Inixindo Jogja menempatkan engagement Alfamart sebagai upaya untuk membawa rancangan solusi menjadi hasil implementasi yang siap dipakai, dengan memanfaatkan kapabilitas solution delivery, implementation control, UAT readiness, dan handover....</w:t>
      </w:r>
    </w:p>
    <w:p>
      <w:pPr>
        <w:pStyle w:val="Heading2"/>
      </w:pPr>
      <w:r>
        <w:rPr>
          <w:rFonts w:ascii="Arial" w:hAnsi="Arial"/>
          <w:b/>
          <w:color w:val="7A7676"/>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Implementation</w:t>
      </w:r>
      <w:r>
        <w:rPr>
          <w:b w:val="0"/>
          <w:i w:val="0"/>
        </w:rPr>
        <w:t xml:space="preserve"> selama</w:t>
      </w:r>
      <w:r>
        <w:rPr>
          <w:b/>
          <w:i w:val="0"/>
        </w:rPr>
        <w:t xml:space="preserve"> 5 Bulan</w:t>
      </w:r>
      <w:r>
        <w:rPr>
          <w:b w:val="0"/>
          <w:i w:val="0"/>
        </w:rPr>
        <w:t>. Baseline komersial internal yang menjadi acuan adalah Milestones: 20% Kickoff, 40% UAT, 30% Go-Live, 10% Handover.</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Implementation</w:t>
            </w:r>
          </w:p>
        </w:tc>
      </w:tr>
      <w:tr>
        <w:tc>
          <w:tcPr>
            <w:tcW w:type="dxa" w:w="4680"/>
          </w:tcPr>
          <w:p>
            <w:r>
              <w:rPr>
                <w:b w:val="0"/>
                <w:i w:val="0"/>
              </w:rPr>
              <w:t>Durasi acuan</w:t>
            </w:r>
          </w:p>
        </w:tc>
        <w:tc>
          <w:tcPr>
            <w:tcW w:type="dxa" w:w="4680"/>
          </w:tcPr>
          <w:p>
            <w:r>
              <w:rPr>
                <w:b w:val="0"/>
                <w:i w:val="0"/>
              </w:rPr>
              <w:t>5 Bulan</w:t>
            </w:r>
          </w:p>
        </w:tc>
      </w:tr>
      <w:tr>
        <w:tc>
          <w:tcPr>
            <w:tcW w:type="dxa" w:w="4680"/>
          </w:tcPr>
          <w:p>
            <w:r>
              <w:rPr>
                <w:b w:val="0"/>
                <w:i w:val="0"/>
              </w:rPr>
              <w:t>Basis commercial</w:t>
            </w:r>
          </w:p>
        </w:tc>
        <w:tc>
          <w:tcPr>
            <w:tcW w:type="dxa" w:w="4680"/>
          </w:tcPr>
          <w:p>
            <w:r>
              <w:rPr>
                <w:b w:val="0"/>
                <w:i w:val="0"/>
              </w:rPr>
              <w:t>Milestones: 20% Kickoff, 40% UAT, 30% Go-Live, 10% Handover.</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7"/>
        </w:numPr>
      </w:pPr>
      <w:r>
        <w:rPr>
          <w:b/>
          <w:i w:val="0"/>
        </w:rPr>
        <w:t>Kickoff &amp; design sign-off</w:t>
      </w:r>
      <w:r>
        <w:rPr>
          <w:b w:val="0"/>
          <w:i w:val="0"/>
        </w:rPr>
        <w:t xml:space="preserve"> sebesar 20% dari estimasi investasi, ditagihkan setelah milestone terkait diterima.</w:t>
      </w:r>
    </w:p>
    <w:p>
      <w:pPr>
        <w:pStyle w:val="ListNumber"/>
        <w:spacing w:before="0" w:after="80"/>
        <w:numPr>
          <w:ilvl w:val="0"/>
          <w:numId w:val="17"/>
        </w:numPr>
      </w:pPr>
      <w:r>
        <w:rPr>
          <w:b/>
          <w:i w:val="0"/>
        </w:rPr>
        <w:t>Build/configuration milestone</w:t>
      </w:r>
      <w:r>
        <w:rPr>
          <w:b w:val="0"/>
          <w:i w:val="0"/>
        </w:rPr>
        <w:t xml:space="preserve"> sebesar 30% dari estimasi investasi, ditagihkan setelah milestone terkait diterima.</w:t>
      </w:r>
    </w:p>
    <w:p>
      <w:pPr>
        <w:pStyle w:val="ListNumber"/>
        <w:spacing w:before="0" w:after="80"/>
        <w:numPr>
          <w:ilvl w:val="0"/>
          <w:numId w:val="17"/>
        </w:numPr>
      </w:pPr>
      <w:r>
        <w:rPr>
          <w:b/>
          <w:i w:val="0"/>
        </w:rPr>
        <w:t>UAT &amp; readiness sign-off</w:t>
      </w:r>
      <w:r>
        <w:rPr>
          <w:b w:val="0"/>
          <w:i w:val="0"/>
        </w:rPr>
        <w:t xml:space="preserve"> sebesar 30% dari estimasi investasi, ditagihkan setelah milestone terkait diterima.</w:t>
      </w:r>
    </w:p>
    <w:p>
      <w:pPr>
        <w:pStyle w:val="ListNumber"/>
        <w:spacing w:before="0" w:after="80"/>
        <w:numPr>
          <w:ilvl w:val="0"/>
          <w:numId w:val="17"/>
        </w:numPr>
      </w:pPr>
      <w:r>
        <w:rPr>
          <w:b/>
          <w:i w:val="0"/>
        </w:rPr>
        <w:t>Go-live &amp; handover</w:t>
      </w:r>
      <w:r>
        <w:rPr>
          <w:b w:val="0"/>
          <w:i w:val="0"/>
        </w:rPr>
        <w:t xml:space="preserve"> sebesar 20% dari estimasi investasi, ditagihkan setelah milestone terkait diterima.</w:t>
      </w:r>
    </w:p>
    <w:p>
      <w:pPr>
        <w:pStyle w:val="Heading2"/>
      </w:pPr>
      <w:r>
        <w:rPr>
          <w:rFonts w:ascii="Arial" w:hAnsi="Arial"/>
          <w:b/>
          <w:color w:val="7A7676"/>
        </w:rPr>
        <w:t>12.2 Model Pekerjaan dan Batasan Pekerjaan</w:t>
      </w:r>
    </w:p>
    <w:p>
      <w:r>
        <w:rPr>
          <w:b w:val="0"/>
          <w:i w:val="0"/>
        </w:rPr>
        <w:t>Model kerja dirancang agar ruang lingkup delivery tetap fokus pada kebutuhan opportunity dan KPI seperti KPI outcome bisnis utama Alfamart bergerak positif dalam 5 bulan. | Kualitas operasi (incident, SLA, lead time) membaik dalam 5 bulan. Untuk Alfamart,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 - Konteks Alfamart tetap menjadi acuan utama agar isi bab tidak bergeser menjadi generik. - Setiap butir pada bab ini harus bisa ditelusuri ke KPI, risiko, atau keputusan kerja yang nyata.</w:t>
      </w:r>
    </w:p>
    <w:p>
      <w:r>
        <w:br w:type="page"/>
      </w:r>
    </w:p>
    <w:p>
      <w:pPr>
        <w:pStyle w:val="Heading1"/>
        <w:jc w:val="center"/>
      </w:pPr>
      <w:r>
        <w:rPr>
          <w:color w:val="7A7676"/>
        </w:rPr>
        <w:t>PENUTUP &amp; APRESIASI KEMITRAAN</w:t>
      </w:r>
    </w:p>
    <w:p>
      <w:r>
        <w:rPr>
          <w:b w:val="0"/>
          <w:i w:val="0"/>
        </w:rPr>
        <w:t>Terima kasih atas kesempatan yang diberikan kepada Inixindo Jogja untuk menyusun proposal bagi Alfamart. Kami memandang inisiatif penguatan tata kelola delivery, percepatan keputusan lintas unit, dan penyusunan roadmap eksekusi yang lebih terukur untuk alfamart bukan hanya sebagai pekerjaan delivery, tetapi sebagai fondasi kemitraan profesional yang harus terasa rapi, hangat, dan dapat dipertanggungjawabkan.</w:t>
      </w:r>
    </w:p>
    <w:p>
      <w:pPr>
        <w:pStyle w:val="Heading2"/>
      </w:pPr>
      <w:r>
        <w:rPr>
          <w:rFonts w:ascii="Arial" w:hAnsi="Arial"/>
          <w:b/>
          <w:color w:val="7A7676"/>
        </w:rPr>
        <w:t>Apresiasi dan Komitmen Kemitraan</w:t>
      </w:r>
    </w:p>
    <w:p>
      <w:pPr>
        <w:pStyle w:val="ListNumber"/>
        <w:spacing w:before="0" w:after="80"/>
        <w:numPr>
          <w:ilvl w:val="0"/>
          <w:numId w:val="18"/>
        </w:numPr>
      </w:pPr>
      <w:r>
        <w:rPr>
          <w:b w:val="0"/>
          <w:i w:val="0"/>
        </w:rPr>
        <w:t>Kami mengapresiasi keterbukaan Alfamart dalam mengangkat konteks, tantangan, dan target bisnis yang menjadi dasar proposal ini.</w:t>
      </w:r>
    </w:p>
    <w:p>
      <w:pPr>
        <w:pStyle w:val="ListNumber"/>
        <w:spacing w:before="0" w:after="80"/>
        <w:numPr>
          <w:ilvl w:val="0"/>
          <w:numId w:val="1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b w:val="0"/>
          <w:i w:val="0"/>
        </w:rPr>
        <w:t>Fokus awal kemitraan diarahkan pada prioritas seperti KPI outcome bisnis utama Alfamart bergerak positif dalam 5 bulan. | Kualitas operasi (incident, SLA, lead time) membaik dalam 5 bulan. | Efektivitas eksekusi proyek (on-time, on-budget, on-scope) tercapai dalam 5 bulan., dengan tata kelola dan ritme eksekusi yang stabil sejak kickoff.</w:t>
      </w:r>
    </w:p>
    <w:p>
      <w:pPr>
        <w:pStyle w:val="ListNumber"/>
        <w:spacing w:before="0" w:after="80"/>
        <w:numPr>
          <w:ilvl w:val="0"/>
          <w:numId w:val="18"/>
        </w:numPr>
      </w:pPr>
      <w:r>
        <w:rPr>
          <w:b w:val="0"/>
          <w:i w:val="0"/>
        </w:rPr>
        <w:t>Kami berharap pekerjaan penguatan tata kelola delivery, percepatan keputusan lintas unit, dan penyusunan roadmap eksekusi yang lebih terukur untuk alfamart dapat berjalan sebagai fondasi kolaborasi yang profesional, terukur, dan memberi hasil yang benar-benar dapat dipakai oleh Alfamart.</w:t>
      </w:r>
    </w:p>
    <w:p>
      <w:pPr>
        <w:pStyle w:val="Heading2"/>
      </w:pPr>
      <w:r>
        <w:rPr>
          <w:rFonts w:ascii="Arial" w:hAnsi="Arial"/>
          <w:b/>
          <w:color w:val="7A7676"/>
        </w:rPr>
        <w:t>Informasi Kontak dan Langkah Lanjutan</w:t>
      </w:r>
    </w:p>
    <w:p>
      <w:r>
        <w:rPr>
          <w:b w:val="0"/>
          <w:i w:val="0"/>
        </w:rPr>
        <w:t>Untuk melanjutkan pembahasan, Inixindo Jogja siap menindaklanjuti review proposal, penajaman ruang lingkup, dan penyesuaian komersial yang diperlukan. - Konteks Alfamart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