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p>
      <w:pPr>
        <w:spacing w:before="0" w:after="120"/>
        <w:jc w:val="center"/>
      </w:pPr>
      <w:r>
        <w:rPr>
          <w:rFonts w:ascii="Times New Roman" w:hAnsi="Times New Roman" w:eastAsia="Times New Roman"/>
          <w:b/>
          <w:color w:val="000000"/>
          <w:sz w:val="32"/>
        </w:rPr>
        <w:t>PROPOSAL STRATEGIS</w:t>
      </w:r>
    </w:p>
    <w:p>
      <w:pPr>
        <w:spacing w:after="240"/>
        <w:jc w:val="center"/>
      </w:pPr>
      <w:r>
        <w:rPr>
          <w:rFonts w:ascii="Times New Roman" w:hAnsi="Times New Roman" w:eastAsia="Times New Roman"/>
          <w:b/>
          <w:color w:val="000000"/>
          <w:sz w:val="48"/>
        </w:rPr>
        <w:t>BLUEBIRD GROUP</w:t>
      </w:r>
    </w:p>
    <w:p>
      <w:pPr>
        <w:spacing w:after="160"/>
        <w:jc w:val="center"/>
      </w:pPr>
      <w:r>
        <w:rPr>
          <w:rFonts w:ascii="Times New Roman" w:hAnsi="Times New Roman" w:eastAsia="Times New Roman"/>
          <w:i/>
          <w:color w:val="000000"/>
          <w:sz w:val="26"/>
        </w:rPr>
        <w:t>MaaS (Mobility as a Service)</w:t>
      </w:r>
    </w:p>
    <w:p>
      <w:pPr>
        <w:spacing w:after="40"/>
        <w:jc w:val="center"/>
      </w:pPr>
      <w:r>
        <w:rPr>
          <w:rFonts w:ascii="Times New Roman" w:hAnsi="Times New Roman" w:eastAsia="Times New Roman"/>
          <w:color w:val="595959"/>
          <w:sz w:val="21"/>
        </w:rPr>
        <w:t>Konsultan | Strategic | Durasi 8 Bulan</w:t>
      </w:r>
    </w:p>
    <w:p>
      <w:pPr>
        <w:spacing w:after="0"/>
        <w:jc w:val="center"/>
      </w:pPr>
      <w:r>
        <w:rPr>
          <w:rFonts w:ascii="Times New Roman" w:hAnsi="Times New Roman" w:eastAsia="Times New Roman"/>
          <w:color w:val="595959"/>
          <w:sz w:val="21"/>
        </w:rPr>
        <w:t>Estimasi investasi: Rp 5.400.000</w:t>
      </w:r>
    </w:p>
    <w:p>
      <w:pPr>
        <w:spacing w:before="1840"/>
        <w:jc w:val="center"/>
      </w:pPr>
      <w:r>
        <w:rPr>
          <w:rFonts w:ascii="Times New Roman" w:hAnsi="Times New Roman" w:eastAsia="Times New Roman"/>
          <w:color w:val="000000"/>
          <w:sz w:val="22"/>
        </w:rPr>
        <w:t>Disusun Oleh:</w:t>
      </w:r>
      <w:r>
        <w:br/>
      </w:r>
      <w:r>
        <w:rPr>
          <w:rFonts w:ascii="Times New Roman" w:hAnsi="Times New Roman" w:eastAsia="Times New Roman"/>
          <w:b/>
          <w:color w:val="000000"/>
          <w:sz w:val="26"/>
        </w:rPr>
        <w:t>Inixindo Jogja</w:t>
      </w:r>
      <w:r>
        <w:br/>
      </w:r>
      <w:r>
        <w:rPr>
          <w:rFonts w:ascii="Times New Roman" w:hAnsi="Times New Roman" w:eastAsia="Times New Roman"/>
          <w:color w:val="595959"/>
          <w:sz w:val="20"/>
        </w:rPr>
        <w:t>PT Inixindo Widya Iswara Nusantara</w:t>
      </w:r>
    </w:p>
    <w:p>
      <w:r>
        <w:br w:type="page"/>
      </w:r>
    </w:p>
    <w:p>
      <w:pPr>
        <w:pStyle w:val="Heading1"/>
        <w:spacing w:before="0" w:after="240"/>
        <w:jc w:val="center"/>
      </w:pPr>
      <w:r>
        <w:rPr>
          <w:rFonts w:ascii="Times New Roman" w:hAnsi="Times New Roman" w:eastAsia="Times New Roman"/>
          <w:b/>
          <w:color w:val="000000"/>
          <w:sz w:val="28"/>
        </w:rPr>
        <w:t>BAB I – KONTEKS KLIEN</w:t>
      </w:r>
    </w:p>
    <w:p>
      <w:r>
        <w:rPr>
          <w:rFonts w:ascii="Times New Roman" w:hAnsi="Times New Roman" w:eastAsia="Times New Roman"/>
          <w:b w:val="0"/>
          <w:i w:val="0"/>
          <w:color w:val="000000"/>
          <w:sz w:val="24"/>
        </w:rPr>
        <w:t>Bab pembuka untuk Bluebird Group perlu langsung memberi pegangan yang jelas mengenai konteks organisasi, tekanan bisnis, dan alasan mengapa jasa konsultasi dibutuhkan saat ini. Tujuannya bukan sekadar memperkenalkan klien, melainkan membantu sponsor membaca bahwa inisiatif maas (mobility as a service) memang memiliki kaitan langsung dengan hasil seperti MAU/Adopsi kanal digital: target pertumbuhan terukur dalam 8 bulan.. Inisiatif ini membutuhkan mitra yang mampu membaca konteks awal secara rapi, proporsional, dan langsung mengarah pada prioritas kerja. Penekanan utamanya adalah relevansi bisnis, urgensi, dan arah eksekusi yang realistis. (Data Internal, 2026).</w:t>
      </w:r>
    </w:p>
    <w:p>
      <w:pPr>
        <w:pStyle w:val="Heading2"/>
      </w:pPr>
      <w:r>
        <w:rPr>
          <w:rFonts w:ascii="Times New Roman" w:hAnsi="Times New Roman" w:eastAsia="Times New Roman"/>
          <w:b/>
          <w:color w:val="000000"/>
          <w:sz w:val="24"/>
        </w:rPr>
        <w:t>1.1 Latar Belakang Organisasi Klien</w:t>
      </w:r>
    </w:p>
    <w:p>
      <w:r>
        <w:rPr>
          <w:rFonts w:ascii="Times New Roman" w:hAnsi="Times New Roman" w:eastAsia="Times New Roman"/>
          <w:b w:val="0"/>
          <w:i w:val="0"/>
          <w:color w:val="000000"/>
          <w:sz w:val="24"/>
        </w:rPr>
        <w:t>Bluebird Group saat ini berada pada fase yang menuntut keputusan kerja lebih tajam terhadap maas (mobility as a service). Tekanan yang paling menonjol dapat dibaca dari digital booking bluebird masih tertinggal, integrasi layanan taxi-rental-shuttle belum menyatu, dan adopsi driver terhadap kanal digital masih rendah. Karena itu, konteks organisasi perlu dibaca bukan hanya dari profil umum klien, tetapi dari tuntutan agar target seperti MAU/Adopsi kanal digital: target pertumbuhan terukur dalam 8 bulan. tetap bergerak dalam horizon 8 Bulan.</w:t>
      </w:r>
    </w:p>
    <w:p>
      <w:pPr>
        <w:pStyle w:val="ListNumber"/>
        <w:spacing w:before="0" w:after="80"/>
        <w:numPr>
          <w:ilvl w:val="0"/>
          <w:numId w:val="10"/>
        </w:numPr>
      </w:pPr>
      <w:r>
        <w:rPr>
          <w:rFonts w:ascii="Times New Roman" w:hAnsi="Times New Roman" w:eastAsia="Times New Roman"/>
          <w:b w:val="0"/>
          <w:i w:val="0"/>
          <w:color w:val="000000"/>
          <w:sz w:val="24"/>
        </w:rPr>
        <w:t>Prioritas pertama adalah memastikan keputusan sponsor tetap terhubung ke kebutuhan inti opportunity, directive.</w:t>
      </w:r>
    </w:p>
    <w:p>
      <w:pPr>
        <w:pStyle w:val="ListNumber"/>
        <w:spacing w:before="0" w:after="80"/>
        <w:numPr>
          <w:ilvl w:val="0"/>
          <w:numId w:val="10"/>
        </w:numPr>
      </w:pPr>
      <w:r>
        <w:rPr>
          <w:rFonts w:ascii="Times New Roman" w:hAnsi="Times New Roman" w:eastAsia="Times New Roman"/>
          <w:b w:val="0"/>
          <w:i w:val="0"/>
          <w:color w:val="000000"/>
          <w:sz w:val="24"/>
        </w:rPr>
        <w:t>Prioritas kedua adalah menjaga bahasa kerja operational excellence, risk control, business value agar forum bisnis, pelaksanaan, dan tata kelola membaca arah yang sama.</w:t>
      </w:r>
    </w:p>
    <w:p>
      <w:pPr>
        <w:pStyle w:val="ListNumber"/>
        <w:spacing w:before="0" w:after="80"/>
        <w:numPr>
          <w:ilvl w:val="0"/>
          <w:numId w:val="10"/>
        </w:numPr>
      </w:pPr>
      <w:r>
        <w:rPr>
          <w:rFonts w:ascii="Times New Roman" w:hAnsi="Times New Roman" w:eastAsia="Times New Roman"/>
          <w:b w:val="0"/>
          <w:i w:val="0"/>
          <w:color w:val="000000"/>
          <w:sz w:val="24"/>
        </w:rPr>
        <w:t>Prioritas ketiga adalah menyiapkan pola kerja yang memungkinkan Bluebird Group bergerak lebih terukur tanpa kehilangan kontrol terhadap risiko dan ketergantungan lintas fungsi.</w:t>
      </w:r>
    </w:p>
    <w:p>
      <w:pPr>
        <w:pStyle w:val="ListBullet"/>
        <w:spacing w:before="0" w:after="80"/>
        <w:numPr>
          <w:ilvl w:val="0"/>
          <w:numId w:val="11"/>
        </w:numPr>
      </w:pPr>
      <w:r>
        <w:rPr>
          <w:rFonts w:ascii="Times New Roman" w:hAnsi="Times New Roman" w:eastAsia="Times New Roman"/>
          <w:b w:val="0"/>
          <w:i w:val="0"/>
          <w:color w:val="000000"/>
          <w:sz w:val="24"/>
        </w:rPr>
        <w:t>Konteks ini menunjukkan bahwa tantangan klien bukan hanya pada aktivitas operasional, tetapi pada bagaimana keputusan, kontrol, dan pelaksanaan dipertemukan dalam satu ritme kerja.</w:t>
      </w:r>
    </w:p>
    <w:p>
      <w:pPr>
        <w:pStyle w:val="ListBullet"/>
        <w:spacing w:before="0" w:after="80"/>
        <w:numPr>
          <w:ilvl w:val="0"/>
          <w:numId w:val="11"/>
        </w:numPr>
      </w:pPr>
      <w:r>
        <w:rPr>
          <w:rFonts w:ascii="Times New Roman" w:hAnsi="Times New Roman" w:eastAsia="Times New Roman"/>
          <w:b w:val="0"/>
          <w:i w:val="0"/>
          <w:color w:val="000000"/>
          <w:sz w:val="24"/>
        </w:rPr>
        <w:t>Outcome awal yang perlu dijaga mencakup arah transformasi yang lebih fokus, prioritas investasi yang lebih defensible, roadmap eksekusi yang lebih mudah disetujui.</w:t>
      </w:r>
    </w:p>
    <w:p>
      <w:pPr>
        <w:pStyle w:val="ListBullet"/>
        <w:spacing w:before="0" w:after="80"/>
        <w:numPr>
          <w:ilvl w:val="0"/>
          <w:numId w:val="11"/>
        </w:numPr>
      </w:pPr>
      <w:r>
        <w:rPr>
          <w:rFonts w:ascii="Times New Roman" w:hAnsi="Times New Roman" w:eastAsia="Times New Roman"/>
          <w:b w:val="0"/>
          <w:i w:val="0"/>
          <w:color w:val="000000"/>
          <w:sz w:val="24"/>
        </w:rPr>
        <w:t>Fokus keputusan sejak awal perlu tetap berada pada prioritas inti agar ruang lingkup tidak melebar ke area yang belum mendesak.</w:t>
      </w:r>
    </w:p>
    <w:p>
      <w:pPr>
        <w:pStyle w:val="Heading2"/>
      </w:pPr>
      <w:r>
        <w:rPr>
          <w:rFonts w:ascii="Times New Roman" w:hAnsi="Times New Roman" w:eastAsia="Times New Roman"/>
          <w:b/>
          <w:color w:val="000000"/>
          <w:sz w:val="24"/>
        </w:rPr>
        <w:t>1.2 Alasan Permintaan Jasa Konsultasi</w:t>
      </w:r>
    </w:p>
    <w:p>
      <w:r>
        <w:rPr>
          <w:rFonts w:ascii="Times New Roman" w:hAnsi="Times New Roman" w:eastAsia="Times New Roman"/>
          <w:b w:val="0"/>
          <w:i w:val="0"/>
          <w:color w:val="000000"/>
          <w:sz w:val="24"/>
        </w:rPr>
        <w:t>Permintaan jasa konsultasi muncul karena Bluebird Group membutuhkan mitra yang mampu menerjemahkan tekanan bisnis menjadi arah kerja, metode, dan keluaran yang lebih siap dijalankan. Dalam konteks ini, Inixindo Jogja diposisikan sebagai mitra yang membantu Bluebird Group menjembatani visi bisnis dengan urutan eksekusi yang realistis melalui metodologi yang terstruktur, dukungan tim inti yang relevan, dan kontrol delivery yang jelas. Artinya, konsultasi dibutuhkan bukan untuk menambah lapisan presentasi, tetapi untuk membantu sponsor mengubah kebutuhan yang masih tersebar menjadi program kerja yang lebih rapi, dapat dipertanggungjawabkan, dan dapat diawasi.</w:t>
      </w:r>
    </w:p>
    <w:p>
      <w:pPr>
        <w:pStyle w:val="ListBullet"/>
        <w:spacing w:before="0" w:after="80"/>
        <w:numPr>
          <w:ilvl w:val="0"/>
          <w:numId w:val="12"/>
        </w:numPr>
      </w:pPr>
      <w:r>
        <w:rPr>
          <w:rFonts w:ascii="Times New Roman" w:hAnsi="Times New Roman" w:eastAsia="Times New Roman"/>
          <w:b w:val="0"/>
          <w:i w:val="0"/>
          <w:color w:val="000000"/>
          <w:sz w:val="24"/>
        </w:rPr>
        <w:t>Dukungan konsultasi diperlukan agar keputusan tentang ruang lingkup, prioritas, dan kontrol kerja tidak berubah-ubah ketika program mulai berjalan.</w:t>
      </w:r>
    </w:p>
    <w:p>
      <w:pPr>
        <w:pStyle w:val="ListBullet"/>
        <w:spacing w:before="0" w:after="80"/>
        <w:numPr>
          <w:ilvl w:val="0"/>
          <w:numId w:val="12"/>
        </w:numPr>
      </w:pPr>
      <w:r>
        <w:rPr>
          <w:rFonts w:ascii="Times New Roman" w:hAnsi="Times New Roman" w:eastAsia="Times New Roman"/>
          <w:b w:val="0"/>
          <w:i w:val="0"/>
          <w:color w:val="000000"/>
          <w:sz w:val="24"/>
        </w:rPr>
        <w:t>Perusahaan penyusun juga diharapkan membantu menjaga kualitas terjemahan dari kebutuhan bisnis ke langkah pelaksanaan, terutama pada tema nilai utama yang harus terasa bagi bluebird group adalah kombinasi antara kejelasan keputusan, kontrol risiko yang lebih baik, dan kemampuan inixindo jogja untuk menjaga....</w:t>
      </w:r>
    </w:p>
    <w:p>
      <w:pPr>
        <w:pStyle w:val="ListBullet"/>
        <w:spacing w:before="0" w:after="80"/>
        <w:numPr>
          <w:ilvl w:val="0"/>
          <w:numId w:val="12"/>
        </w:numPr>
      </w:pPr>
      <w:r>
        <w:rPr>
          <w:rFonts w:ascii="Times New Roman" w:hAnsi="Times New Roman" w:eastAsia="Times New Roman"/>
          <w:b w:val="0"/>
          <w:i w:val="0"/>
          <w:color w:val="000000"/>
          <w:sz w:val="24"/>
        </w:rPr>
        <w:t>Dengan keterlibatan yang tepat, Bluebird Group memperoleh mitra yang membantu menjaga konsistensi dari konteks awal, rumusan masalah, pendekatan, sampai bentuk keluaran yang benar-benar dapat dipakai.</w:t>
      </w:r>
    </w:p>
    <w:p>
      <w:r>
        <w:rPr>
          <w:rFonts w:ascii="Times New Roman" w:hAnsi="Times New Roman" w:eastAsia="Times New Roman"/>
          <w:b w:val="0"/>
          <w:i w:val="0"/>
          <w:color w:val="000000"/>
          <w:sz w:val="24"/>
        </w:rPr>
        <w:t>Pada akhirnya, alasan permintaan jasa konsultasi adalah kebutuhan untuk memastikan bahwa inisiatif maas (mobility as a service) tidak hanya terlihat baik di atas kertas, tetapi sungguh mempunyai jalur kerja yang rapi untuk diwujudkan. Tujuan akhirnya adalah memberi sponsor Bluebird Group dasar keputusan yang lebih kuat sebelum organisasi bergerak lebih jauh.</w:t>
      </w:r>
    </w:p>
    <w:p>
      <w:r>
        <w:br w:type="page"/>
      </w:r>
    </w:p>
    <w:p>
      <w:pPr>
        <w:pStyle w:val="Heading1"/>
        <w:spacing w:before="0" w:after="240"/>
        <w:jc w:val="center"/>
      </w:pPr>
      <w:r>
        <w:rPr>
          <w:rFonts w:ascii="Times New Roman" w:hAnsi="Times New Roman" w:eastAsia="Times New Roman"/>
          <w:b/>
          <w:color w:val="000000"/>
          <w:sz w:val="28"/>
        </w:rPr>
        <w:t>BAB II – PERMASALAHAN</w:t>
      </w:r>
    </w:p>
    <w:p>
      <w:r>
        <w:rPr>
          <w:rFonts w:ascii="Times New Roman" w:hAnsi="Times New Roman" w:eastAsia="Times New Roman"/>
          <w:b w:val="0"/>
          <w:i w:val="0"/>
          <w:color w:val="000000"/>
          <w:sz w:val="24"/>
        </w:rPr>
        <w:t>Bab permasalahan untuk Bluebird Group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konteks bisnis, tantangan utama, akar kesenjangan, implikasi risiko, dan akhirnya kebutuhan solusi. (Data Internal, 2026).</w:t>
      </w:r>
    </w:p>
    <w:p>
      <w:pPr>
        <w:pStyle w:val="Heading2"/>
      </w:pPr>
      <w:r>
        <w:rPr>
          <w:rFonts w:ascii="Times New Roman" w:hAnsi="Times New Roman" w:eastAsia="Times New Roman"/>
          <w:b/>
          <w:color w:val="000000"/>
          <w:sz w:val="24"/>
        </w:rPr>
        <w:t>2.1 Kebutuhan atau Keinginan Klien</w:t>
      </w:r>
    </w:p>
    <w:p>
      <w:r>
        <w:rPr>
          <w:rFonts w:ascii="Times New Roman" w:hAnsi="Times New Roman" w:eastAsia="Times New Roman"/>
          <w:b w:val="0"/>
          <w:i w:val="0"/>
          <w:color w:val="000000"/>
          <w:sz w:val="24"/>
        </w:rPr>
        <w:t>Kebutuhan utama Bluebird Group pada proposal ini berputar pada upaya untuk opportunity, directive. Di balik kebutuhan tersebut, sponsor sebenarnya sedang mencari cara agar keputusan, pelaksanaan, dan kontrol program tidak berjalan sendiri-sendiri. Itulah sebabnya bab ini tidak cukup berhenti pada daftar titik sakit, tetapi harus memperlihatkan apa yang sesungguhnya perlu diperbaiki agar hasil seperti MAU/Adopsi kanal digital: target pertumbuhan terukur dalam 8 bulan. dapat dikejar dengan lebih stabil.</w:t>
      </w:r>
    </w:p>
    <w:p>
      <w:pPr>
        <w:pStyle w:val="ListBullet"/>
        <w:spacing w:before="0" w:after="80"/>
        <w:numPr>
          <w:ilvl w:val="0"/>
          <w:numId w:val="13"/>
        </w:numPr>
      </w:pPr>
      <w:r>
        <w:rPr>
          <w:rFonts w:ascii="Times New Roman" w:hAnsi="Times New Roman" w:eastAsia="Times New Roman"/>
          <w:b w:val="0"/>
          <w:i w:val="0"/>
          <w:color w:val="000000"/>
          <w:sz w:val="24"/>
        </w:rPr>
        <w:t>Kebutuhan klien harus dibaca sebagai kebutuhan akan arah kerja yang lebih jelas, lebih terukur, dan lebih mudah diawasi.</w:t>
      </w:r>
    </w:p>
    <w:p>
      <w:pPr>
        <w:pStyle w:val="ListBullet"/>
        <w:spacing w:before="0" w:after="80"/>
        <w:numPr>
          <w:ilvl w:val="0"/>
          <w:numId w:val="13"/>
        </w:numPr>
      </w:pPr>
      <w:r>
        <w:rPr>
          <w:rFonts w:ascii="Times New Roman" w:hAnsi="Times New Roman" w:eastAsia="Times New Roman"/>
          <w:b w:val="0"/>
          <w:i w:val="0"/>
          <w:color w:val="000000"/>
          <w:sz w:val="24"/>
        </w:rPr>
        <w:t>Kebutuhan tersebut juga menuntut hubungan yang lebih rapi antara prioritas bisnis, ritme pelaksanaan, dan kualitas keputusan lintas fungsi.</w:t>
      </w:r>
    </w:p>
    <w:p>
      <w:pPr>
        <w:pStyle w:val="Heading2"/>
      </w:pPr>
      <w:r>
        <w:rPr>
          <w:rFonts w:ascii="Times New Roman" w:hAnsi="Times New Roman" w:eastAsia="Times New Roman"/>
          <w:b/>
          <w:color w:val="000000"/>
          <w:sz w:val="24"/>
        </w:rPr>
        <w:t>2.2 Konteks Bisnis</w:t>
      </w:r>
    </w:p>
    <w:p>
      <w:r>
        <w:rPr>
          <w:rFonts w:ascii="Times New Roman" w:hAnsi="Times New Roman" w:eastAsia="Times New Roman"/>
          <w:b w:val="0"/>
          <w:i w:val="0"/>
          <w:color w:val="000000"/>
          <w:sz w:val="24"/>
        </w:rPr>
        <w:t>Dari sisi konteks bisnis, Bluebird Group sedang berada pada situasi yang menuntut kejelasan prioritas atas maas (mobility as a service). Tekanan yang muncul tidak berdiri sendiri, melainkan terkait dengan harapan sponsor terhadap arah transformasi yang lebih fokus, prioritas investasi yang lebih defensible, roadmap eksekusi yang lebih mudah disetujui, kebutuhan menjaga ritme kerja operational excellence, risk control, business value, dan tuntutan agar investasi atau upaya yang dikeluarkan benar-benar menghasilkan perbaikan yang bisa dirasakan. Konteks ini menjelaskan mengapa proposal perlu berbicara dalam bahasa keputusan bisnis, bukan hanya bahasa aktivitas proyek.</w:t>
      </w:r>
    </w:p>
    <w:p>
      <w:pPr>
        <w:pStyle w:val="Heading2"/>
      </w:pPr>
      <w:r>
        <w:rPr>
          <w:rFonts w:ascii="Times New Roman" w:hAnsi="Times New Roman" w:eastAsia="Times New Roman"/>
          <w:b/>
          <w:color w:val="000000"/>
          <w:sz w:val="24"/>
        </w:rPr>
        <w:t>2.3 Tantangan Utama</w:t>
      </w:r>
    </w:p>
    <w:p>
      <w:r>
        <w:rPr>
          <w:rFonts w:ascii="Times New Roman" w:hAnsi="Times New Roman" w:eastAsia="Times New Roman"/>
          <w:b w:val="0"/>
          <w:i w:val="0"/>
          <w:color w:val="000000"/>
          <w:sz w:val="24"/>
        </w:rPr>
        <w:t>Tantangan utama yang dihadapi Bluebird Group dapat diringkas ke dalam tiga hal yang saling terkait:</w:t>
      </w:r>
    </w:p>
    <w:p>
      <w:pPr>
        <w:pStyle w:val="ListNumber"/>
        <w:spacing w:before="0" w:after="80"/>
        <w:numPr>
          <w:ilvl w:val="0"/>
          <w:numId w:val="14"/>
        </w:numPr>
      </w:pPr>
      <w:r>
        <w:rPr>
          <w:rFonts w:ascii="Times New Roman" w:hAnsi="Times New Roman" w:eastAsia="Times New Roman"/>
          <w:b w:val="0"/>
          <w:i w:val="0"/>
          <w:color w:val="000000"/>
          <w:sz w:val="24"/>
        </w:rPr>
        <w:t>Menyatukan arah sponsor, tim inti, dan pelaksana kerja agar membaca tujuan yang sama terhadap maas (mobility as a service).</w:t>
      </w:r>
    </w:p>
    <w:p>
      <w:pPr>
        <w:pStyle w:val="ListNumber"/>
        <w:spacing w:before="0" w:after="80"/>
        <w:numPr>
          <w:ilvl w:val="0"/>
          <w:numId w:val="14"/>
        </w:numPr>
      </w:pPr>
      <w:r>
        <w:rPr>
          <w:rFonts w:ascii="Times New Roman" w:hAnsi="Times New Roman" w:eastAsia="Times New Roman"/>
          <w:b w:val="0"/>
          <w:i w:val="0"/>
          <w:color w:val="000000"/>
          <w:sz w:val="24"/>
        </w:rPr>
        <w:t>Menjaga agar keputusan kerja tetap cepat tanpa mengorbankan gerbang mutu, tata kelola, dan disiplin prioritas.</w:t>
      </w:r>
    </w:p>
    <w:p>
      <w:pPr>
        <w:pStyle w:val="ListNumber"/>
        <w:spacing w:before="0" w:after="80"/>
        <w:numPr>
          <w:ilvl w:val="0"/>
          <w:numId w:val="14"/>
        </w:numPr>
      </w:pPr>
      <w:r>
        <w:rPr>
          <w:rFonts w:ascii="Times New Roman" w:hAnsi="Times New Roman" w:eastAsia="Times New Roman"/>
          <w:b w:val="0"/>
          <w:i w:val="0"/>
          <w:color w:val="000000"/>
          <w:sz w:val="24"/>
        </w:rPr>
        <w:t>Mengubah kebutuhan yang masih tersebar menjadi model kerja yang cukup konkret untuk diterjemahkan menjadi keluaran dan pengendalian proyek.</w:t>
      </w:r>
    </w:p>
    <w:p>
      <w:r>
        <w:rPr>
          <w:rFonts w:ascii="Times New Roman" w:hAnsi="Times New Roman" w:eastAsia="Times New Roman"/>
          <w:b w:val="0"/>
          <w:i w:val="0"/>
          <w:color w:val="000000"/>
          <w:sz w:val="24"/>
        </w:rPr>
        <w:t>Tantangan ini penting dicatat karena sering kali gejala di lapangan terlihat teknis atau operasional, padahal akar masalahnya justru berada pada sinkronisasi keputusan, kontrol, dan kesiapan eksekusi.</w:t>
      </w:r>
    </w:p>
    <w:p>
      <w:pPr>
        <w:pStyle w:val="Heading2"/>
      </w:pPr>
      <w:r>
        <w:rPr>
          <w:rFonts w:ascii="Times New Roman" w:hAnsi="Times New Roman" w:eastAsia="Times New Roman"/>
          <w:b/>
          <w:color w:val="000000"/>
          <w:sz w:val="24"/>
        </w:rPr>
        <w:t>2.4 Akar Kesenjangan</w:t>
      </w:r>
    </w:p>
    <w:p>
      <w:r>
        <w:rPr>
          <w:rFonts w:ascii="Times New Roman" w:hAnsi="Times New Roman" w:eastAsia="Times New Roman"/>
          <w:b w:val="0"/>
          <w:i w:val="0"/>
          <w:color w:val="000000"/>
          <w:sz w:val="24"/>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w:t>
      </w:r>
    </w:p>
    <w:p>
      <w:pPr>
        <w:pStyle w:val="ListBullet"/>
        <w:spacing w:before="0" w:after="80"/>
        <w:numPr>
          <w:ilvl w:val="0"/>
          <w:numId w:val="15"/>
        </w:numPr>
      </w:pPr>
      <w:r>
        <w:rPr>
          <w:rFonts w:ascii="Times New Roman" w:hAnsi="Times New Roman" w:eastAsia="Times New Roman"/>
          <w:b w:val="0"/>
          <w:i w:val="0"/>
          <w:color w:val="000000"/>
          <w:sz w:val="24"/>
        </w:rPr>
        <w:t>Gap pertama berada pada penerjemahan kebutuhan bisnis ke langkah kerja yang benar-benar dapat dijalankan.</w:t>
      </w:r>
    </w:p>
    <w:p>
      <w:pPr>
        <w:pStyle w:val="ListBullet"/>
        <w:spacing w:before="0" w:after="80"/>
        <w:numPr>
          <w:ilvl w:val="0"/>
          <w:numId w:val="15"/>
        </w:numPr>
      </w:pPr>
      <w:r>
        <w:rPr>
          <w:rFonts w:ascii="Times New Roman" w:hAnsi="Times New Roman" w:eastAsia="Times New Roman"/>
          <w:b w:val="0"/>
          <w:i w:val="0"/>
          <w:color w:val="000000"/>
          <w:sz w:val="24"/>
        </w:rPr>
        <w:t>Gap kedua berada pada pengendalian keputusan, terutama ketika ketergantungan kerja dan kepentingan lintas fungsi mulai bertemu.</w:t>
      </w:r>
    </w:p>
    <w:p>
      <w:pPr>
        <w:pStyle w:val="ListBullet"/>
        <w:spacing w:before="0" w:after="80"/>
        <w:numPr>
          <w:ilvl w:val="0"/>
          <w:numId w:val="15"/>
        </w:numPr>
      </w:pPr>
      <w:r>
        <w:rPr>
          <w:rFonts w:ascii="Times New Roman" w:hAnsi="Times New Roman" w:eastAsia="Times New Roman"/>
          <w:b w:val="0"/>
          <w:i w:val="0"/>
          <w:color w:val="000000"/>
          <w:sz w:val="24"/>
        </w:rPr>
        <w:t>Gap ketiga berada pada kesiapan pelaksanaan untuk menjaga kualitas hasil sambil tetap bergerak dalam horizon 8 Bulan.</w:t>
      </w:r>
    </w:p>
    <w:p>
      <w:pPr>
        <w:pStyle w:val="Heading2"/>
      </w:pPr>
      <w:r>
        <w:rPr>
          <w:rFonts w:ascii="Times New Roman" w:hAnsi="Times New Roman" w:eastAsia="Times New Roman"/>
          <w:b/>
          <w:color w:val="000000"/>
          <w:sz w:val="24"/>
        </w:rPr>
        <w:t>2.5 Implikasi / Risiko</w:t>
      </w:r>
    </w:p>
    <w:p>
      <w:r>
        <w:rPr>
          <w:rFonts w:ascii="Times New Roman" w:hAnsi="Times New Roman" w:eastAsia="Times New Roman"/>
          <w:b w:val="0"/>
          <w:i w:val="0"/>
          <w:color w:val="000000"/>
          <w:sz w:val="24"/>
        </w:rPr>
        <w:t>Bila kesenjangan tersebut dibiarkan, Bluebird Group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 Karena itu, pembacaan risiko pada bab ini perlu diposisikan sebagai dasar mengapa intervensi harus dilakukan secara lebih terstruktur.</w:t>
      </w:r>
    </w:p>
    <w:p>
      <w:pPr>
        <w:pStyle w:val="Heading2"/>
      </w:pPr>
      <w:r>
        <w:rPr>
          <w:rFonts w:ascii="Times New Roman" w:hAnsi="Times New Roman" w:eastAsia="Times New Roman"/>
          <w:b/>
          <w:color w:val="000000"/>
          <w:sz w:val="24"/>
        </w:rPr>
        <w:t>2.6 Kebutuhan Solusi</w:t>
      </w:r>
    </w:p>
    <w:p>
      <w:r>
        <w:rPr>
          <w:rFonts w:ascii="Times New Roman" w:hAnsi="Times New Roman" w:eastAsia="Times New Roman"/>
          <w:b w:val="0"/>
          <w:i w:val="0"/>
          <w:color w:val="000000"/>
          <w:sz w:val="24"/>
        </w:rPr>
        <w:t>Dengan pola masalah seperti di atas, Bluebird Group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 Bab-bab setelah ini sengaja dibangun untuk menjawab kebutuhan tersebut secara bertahap: mulai dari pendekatan, metodologi, desain solusi, sampai model pelaksanaan dan tata kelola yang bisa dijalankan.</w:t>
      </w:r>
    </w:p>
    <w:p>
      <w:r>
        <w:br w:type="page"/>
      </w:r>
    </w:p>
    <w:p>
      <w:pPr>
        <w:pStyle w:val="Heading1"/>
        <w:spacing w:before="0" w:after="240"/>
        <w:jc w:val="center"/>
      </w:pPr>
      <w:r>
        <w:rPr>
          <w:rFonts w:ascii="Times New Roman" w:hAnsi="Times New Roman" w:eastAsia="Times New Roman"/>
          <w:b/>
          <w:color w:val="000000"/>
          <w:sz w:val="28"/>
        </w:rPr>
        <w:t>BAB III – KLASIFIKASI KEBUTUHAN</w:t>
      </w:r>
    </w:p>
    <w:p>
      <w:pPr>
        <w:spacing w:after="160"/>
        <w:jc w:val="center"/>
      </w:pPr>
      <w:r>
        <w:drawing>
          <wp:inline xmlns:a="http://schemas.openxmlformats.org/drawingml/2006/main" xmlns:pic="http://schemas.openxmlformats.org/drawingml/2006/picture">
            <wp:extent cx="5120640" cy="36921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20640" cy="3692113"/>
                    </a:xfrm>
                    <a:prstGeom prst="rect"/>
                  </pic:spPr>
                </pic:pic>
              </a:graphicData>
            </a:graphic>
          </wp:inline>
        </w:drawing>
      </w:r>
    </w:p>
    <w:p>
      <w:r>
        <w:rPr>
          <w:rFonts w:ascii="Times New Roman" w:hAnsi="Times New Roman" w:eastAsia="Times New Roman"/>
          <w:b w:val="0"/>
          <w:i w:val="0"/>
          <w:color w:val="000000"/>
          <w:sz w:val="24"/>
        </w:rPr>
        <w:t>Bab klasifikasi kebutuhan untuk Bluebird Group dipakai untuk mengerucutkan berbagai sinyal kebutuhan menjadi fokus kerja yang paling tepat diselesaikan lebih dahulu. Dari kombinasi konteks proyek, pain points, dan tekanan bisnis yang muncul, kebutuhan yang paling tepat diposisikan sebagai</w:t>
      </w:r>
      <w:r>
        <w:rPr>
          <w:rFonts w:ascii="Times New Roman" w:hAnsi="Times New Roman" w:eastAsia="Times New Roman"/>
          <w:b/>
          <w:i w:val="0"/>
          <w:color w:val="000000"/>
          <w:sz w:val="24"/>
        </w:rPr>
        <w:t xml:space="preserve"> Directive</w:t>
      </w:r>
      <w:r>
        <w:rPr>
          <w:rFonts w:ascii="Times New Roman" w:hAnsi="Times New Roman" w:eastAsia="Times New Roman"/>
          <w:b w:val="0"/>
          <w:i w:val="0"/>
          <w:color w:val="000000"/>
          <w:sz w:val="24"/>
        </w:rPr>
        <w:t>. Pilihan ini dibuat agar proposal tidak melebar, melainkan langsung mengunci prioritas yang paling berpengaruh pada outcome seperti MAU/Adopsi kanal digital: target pertumbuhan terukur dalam 8 bulan.. Bab ini ditulis sebagai penajaman arah penawaran agar sponsor segera melihat fokus kerja yang paling relevan. (Data Internal, 2026).</w:t>
      </w:r>
    </w:p>
    <w:p>
      <w:pPr>
        <w:pStyle w:val="Heading2"/>
      </w:pPr>
      <w:r>
        <w:rPr>
          <w:rFonts w:ascii="Times New Roman" w:hAnsi="Times New Roman" w:eastAsia="Times New Roman"/>
          <w:b/>
          <w:color w:val="000000"/>
          <w:sz w:val="24"/>
        </w:rPr>
        <w:t>3.1 Penajaman Kebutuhan Utama yang Dipilih</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Opsi Kebutuhan</w:t>
            </w:r>
          </w:p>
        </w:tc>
        <w:tc>
          <w:tcPr>
            <w:tcW w:type="dxa" w:w="3120"/>
            <w:shd w:fill="E7E6E6"/>
          </w:tcPr>
          <w:p>
            <w:pPr>
              <w:spacing w:before="0" w:after="40" w:lineRule="auto" w:line="240"/>
            </w:pPr>
            <w:r>
              <w:rPr>
                <w:rFonts w:ascii="Times New Roman" w:hAnsi="Times New Roman" w:eastAsia="Times New Roman"/>
                <w:b/>
                <w:i w:val="0"/>
                <w:color w:val="000000"/>
                <w:sz w:val="21"/>
              </w:rPr>
              <w:t>Posisi</w:t>
            </w:r>
          </w:p>
        </w:tc>
        <w:tc>
          <w:tcPr>
            <w:tcW w:type="dxa" w:w="3120"/>
            <w:shd w:fill="E7E6E6"/>
          </w:tcPr>
          <w:p>
            <w:pPr>
              <w:spacing w:before="0" w:after="40" w:lineRule="auto" w:line="240"/>
            </w:pPr>
            <w:r>
              <w:rPr>
                <w:rFonts w:ascii="Times New Roman" w:hAnsi="Times New Roman" w:eastAsia="Times New Roman"/>
                <w:b/>
                <w:i w:val="0"/>
                <w:color w:val="000000"/>
                <w:sz w:val="21"/>
              </w:rPr>
              <w:t>Alasan Penetapan</w:t>
            </w:r>
          </w:p>
        </w:tc>
      </w:tr>
      <w:tr>
        <w:tc>
          <w:tcPr>
            <w:tcW w:type="dxa" w:w="3120"/>
          </w:tcPr>
          <w:p>
            <w:pPr>
              <w:spacing w:before="0" w:after="40" w:lineRule="auto" w:line="240"/>
            </w:pPr>
            <w:r>
              <w:rPr>
                <w:rFonts w:ascii="Times New Roman" w:hAnsi="Times New Roman" w:eastAsia="Times New Roman"/>
                <w:b w:val="0"/>
                <w:i w:val="0"/>
                <w:color w:val="000000"/>
                <w:sz w:val="21"/>
              </w:rPr>
              <w:t>Problem</w:t>
            </w:r>
          </w:p>
        </w:tc>
        <w:tc>
          <w:tcPr>
            <w:tcW w:type="dxa" w:w="3120"/>
          </w:tcPr>
          <w:p>
            <w:pPr>
              <w:spacing w:before="0" w:after="40" w:lineRule="auto" w:line="240"/>
            </w:pPr>
            <w:r>
              <w:rPr>
                <w:rFonts w:ascii="Times New Roman" w:hAnsi="Times New Roman" w:eastAsia="Times New Roman"/>
                <w:b w:val="0"/>
                <w:i w:val="0"/>
                <w:color w:val="000000"/>
                <w:sz w:val="21"/>
              </w:rPr>
              <w:t>Konteks pendukung</w:t>
            </w:r>
          </w:p>
        </w:tc>
        <w:tc>
          <w:tcPr>
            <w:tcW w:type="dxa" w:w="3120"/>
          </w:tcPr>
          <w:p>
            <w:pPr>
              <w:spacing w:before="0" w:after="40" w:lineRule="auto" w:line="240"/>
            </w:pPr>
            <w:r>
              <w:rPr>
                <w:rFonts w:ascii="Times New Roman" w:hAnsi="Times New Roman" w:eastAsia="Times New Roman"/>
                <w:b w:val="0"/>
                <w:i w:val="0"/>
                <w:color w:val="000000"/>
                <w:sz w:val="21"/>
              </w:rPr>
              <w:t>Menjawab gap, hambatan, dan isu yang mengganggu target bisnis atau delivery.</w:t>
            </w:r>
          </w:p>
        </w:tc>
      </w:tr>
      <w:tr>
        <w:tc>
          <w:tcPr>
            <w:tcW w:type="dxa" w:w="3120"/>
          </w:tcPr>
          <w:p>
            <w:pPr>
              <w:spacing w:before="0" w:after="40" w:lineRule="auto" w:line="240"/>
            </w:pPr>
            <w:r>
              <w:rPr>
                <w:rFonts w:ascii="Times New Roman" w:hAnsi="Times New Roman" w:eastAsia="Times New Roman"/>
                <w:b w:val="0"/>
                <w:i w:val="0"/>
                <w:color w:val="000000"/>
                <w:sz w:val="21"/>
              </w:rPr>
              <w:t>Opportunity</w:t>
            </w:r>
          </w:p>
        </w:tc>
        <w:tc>
          <w:tcPr>
            <w:tcW w:type="dxa" w:w="3120"/>
          </w:tcPr>
          <w:p>
            <w:pPr>
              <w:spacing w:before="0" w:after="40" w:lineRule="auto" w:line="240"/>
            </w:pPr>
            <w:r>
              <w:rPr>
                <w:rFonts w:ascii="Times New Roman" w:hAnsi="Times New Roman" w:eastAsia="Times New Roman"/>
                <w:b w:val="0"/>
                <w:i w:val="0"/>
                <w:color w:val="000000"/>
                <w:sz w:val="21"/>
              </w:rPr>
              <w:t>Konteks pendukung</w:t>
            </w:r>
          </w:p>
        </w:tc>
        <w:tc>
          <w:tcPr>
            <w:tcW w:type="dxa" w:w="3120"/>
          </w:tcPr>
          <w:p>
            <w:pPr>
              <w:spacing w:before="0" w:after="40" w:lineRule="auto" w:line="240"/>
            </w:pPr>
            <w:r>
              <w:rPr>
                <w:rFonts w:ascii="Times New Roman" w:hAnsi="Times New Roman" w:eastAsia="Times New Roman"/>
                <w:b w:val="0"/>
                <w:i w:val="0"/>
                <w:color w:val="000000"/>
                <w:sz w:val="21"/>
              </w:rPr>
              <w:t>Menangkap peluang peningkatan nilai, efisiensi, atau pertumbuhan yang relevan.</w:t>
            </w:r>
          </w:p>
        </w:tc>
      </w:tr>
      <w:tr>
        <w:tc>
          <w:tcPr>
            <w:tcW w:type="dxa" w:w="3120"/>
          </w:tcPr>
          <w:p>
            <w:pPr>
              <w:spacing w:before="0" w:after="40" w:lineRule="auto" w:line="240"/>
            </w:pPr>
            <w:r>
              <w:rPr>
                <w:rFonts w:ascii="Times New Roman" w:hAnsi="Times New Roman" w:eastAsia="Times New Roman"/>
                <w:b w:val="0"/>
                <w:i w:val="0"/>
                <w:color w:val="000000"/>
                <w:sz w:val="21"/>
              </w:rPr>
              <w:t>Directive</w:t>
            </w:r>
          </w:p>
        </w:tc>
        <w:tc>
          <w:tcPr>
            <w:tcW w:type="dxa" w:w="3120"/>
          </w:tcPr>
          <w:p>
            <w:pPr>
              <w:spacing w:before="0" w:after="40" w:lineRule="auto" w:line="240"/>
            </w:pPr>
            <w:r>
              <w:rPr>
                <w:rFonts w:ascii="Times New Roman" w:hAnsi="Times New Roman" w:eastAsia="Times New Roman"/>
                <w:b w:val="0"/>
                <w:i w:val="0"/>
                <w:color w:val="000000"/>
                <w:sz w:val="21"/>
              </w:rPr>
              <w:t>Fokus utama</w:t>
            </w:r>
          </w:p>
        </w:tc>
        <w:tc>
          <w:tcPr>
            <w:tcW w:type="dxa" w:w="3120"/>
          </w:tcPr>
          <w:p>
            <w:pPr>
              <w:spacing w:before="0" w:after="40" w:lineRule="auto" w:line="240"/>
            </w:pPr>
            <w:r>
              <w:rPr>
                <w:rFonts w:ascii="Times New Roman" w:hAnsi="Times New Roman" w:eastAsia="Times New Roman"/>
                <w:b w:val="0"/>
                <w:i w:val="0"/>
                <w:color w:val="000000"/>
                <w:sz w:val="21"/>
              </w:rPr>
              <w:t>Menjawab mandat, regulasi, atau kebutuhan kepatuhan yang tidak bisa diabaikan.</w:t>
            </w:r>
          </w:p>
        </w:tc>
      </w:tr>
    </w:tbl>
    <w:p>
      <w:r>
        <w:rPr>
          <w:rFonts w:ascii="Times New Roman" w:hAnsi="Times New Roman" w:eastAsia="Times New Roman"/>
          <w:b w:val="0"/>
          <w:i w:val="0"/>
          <w:color w:val="000000"/>
          <w:sz w:val="24"/>
        </w:rPr>
        <w:t>Fokus utama yang dipilih adalah</w:t>
      </w:r>
      <w:r>
        <w:rPr>
          <w:rFonts w:ascii="Times New Roman" w:hAnsi="Times New Roman" w:eastAsia="Times New Roman"/>
          <w:b/>
          <w:i w:val="0"/>
          <w:color w:val="000000"/>
          <w:sz w:val="24"/>
        </w:rPr>
        <w:t xml:space="preserve"> Directive</w:t>
      </w:r>
      <w:r>
        <w:rPr>
          <w:rFonts w:ascii="Times New Roman" w:hAnsi="Times New Roman" w:eastAsia="Times New Roman"/>
          <w:b w:val="0"/>
          <w:i w:val="0"/>
          <w:color w:val="000000"/>
          <w:sz w:val="24"/>
        </w:rPr>
        <w:t>, sedangkan kebutuhan lain diposisikan sebagai konteks pendukung agar arah kerja tetap terkendali. Bagi Bluebird Group, penajaman ini penting supaya scope, metode kerja, dan bentuk keluaran tidak tersebar ke terlalu banyak sasaran sejak awal.</w:t>
      </w:r>
    </w:p>
    <w:p>
      <w:pPr>
        <w:pStyle w:val="ListBullet"/>
        <w:spacing w:before="0" w:after="80"/>
        <w:numPr>
          <w:ilvl w:val="0"/>
          <w:numId w:val="16"/>
        </w:numPr>
      </w:pPr>
      <w:r>
        <w:rPr>
          <w:rFonts w:ascii="Times New Roman" w:hAnsi="Times New Roman" w:eastAsia="Times New Roman"/>
          <w:b w:val="0"/>
          <w:i w:val="0"/>
          <w:color w:val="000000"/>
          <w:sz w:val="24"/>
        </w:rPr>
        <w:t>Kebutuhan sekunder yang tetap diperhatikan: Opportunity.</w:t>
      </w:r>
    </w:p>
    <w:p>
      <w:pPr>
        <w:pStyle w:val="ListBullet"/>
        <w:spacing w:before="0" w:after="80"/>
        <w:numPr>
          <w:ilvl w:val="0"/>
          <w:numId w:val="16"/>
        </w:numPr>
      </w:pPr>
      <w:r>
        <w:rPr>
          <w:rFonts w:ascii="Times New Roman" w:hAnsi="Times New Roman" w:eastAsia="Times New Roman"/>
          <w:b w:val="0"/>
          <w:i w:val="0"/>
          <w:color w:val="000000"/>
          <w:sz w:val="24"/>
        </w:rPr>
        <w:t>Penetapan fokus utama juga harus tetap membaca risiko seperti digital booking bluebird masih tertinggal, integrasi layanan taxi-rental-shuttle belum menyatu, dan adopsi driver terhadap kanal digital masih rendah dan kaitannya dengan target bisnis MAU/Adopsi kanal digital: target pertumbuhan terukur dalam 8 bulan..</w:t>
      </w:r>
    </w:p>
    <w:p>
      <w:pPr>
        <w:pStyle w:val="Heading2"/>
      </w:pPr>
      <w:r>
        <w:rPr>
          <w:rFonts w:ascii="Times New Roman" w:hAnsi="Times New Roman" w:eastAsia="Times New Roman"/>
          <w:b/>
          <w:color w:val="000000"/>
          <w:sz w:val="24"/>
        </w:rPr>
        <w:t>3.2 Tujuan Utama dan Jenis Proyek</w:t>
      </w:r>
    </w:p>
    <w:p>
      <w:r>
        <w:rPr>
          <w:rFonts w:ascii="Times New Roman" w:hAnsi="Times New Roman" w:eastAsia="Times New Roman"/>
          <w:b w:val="0"/>
          <w:i w:val="0"/>
          <w:color w:val="000000"/>
          <w:sz w:val="24"/>
        </w:rPr>
        <w:t>Dengan fokus kebutuhan yang sudah mengerucut, tujuan utama proyek dapat ditegaskan sebagai upaya membantu Bluebird Group mencapai maas (mobility as a service) melalui model kerja</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Jenis proyek ini dipandang paling tepat karena masih sejalan dengan baseline metodologi internal Visioning, Target Operating Model, Roadmap, Board Presentation, sekaligus cukup kuat untuk menerjemahkan kebutuhan directive menjadi deliverable, keputusan, dan quality gate yang dapat dijalankan.</w:t>
      </w:r>
    </w:p>
    <w:p>
      <w:pPr>
        <w:pStyle w:val="ListBullet"/>
        <w:spacing w:before="0" w:after="80"/>
        <w:numPr>
          <w:ilvl w:val="0"/>
          <w:numId w:val="17"/>
        </w:numPr>
      </w:pPr>
      <w:r>
        <w:rPr>
          <w:rFonts w:ascii="Times New Roman" w:hAnsi="Times New Roman" w:eastAsia="Times New Roman"/>
          <w:b w:val="0"/>
          <w:i w:val="0"/>
          <w:color w:val="000000"/>
          <w:sz w:val="24"/>
        </w:rPr>
        <w:t>Tujuan utama proposal adalah mengubah kebutuhan directive menjadi program kerja yang lebih terstruktur, terukur, dan mudah dikendalikan.</w:t>
      </w:r>
    </w:p>
    <w:p>
      <w:pPr>
        <w:pStyle w:val="ListBullet"/>
        <w:spacing w:before="0" w:after="80"/>
        <w:numPr>
          <w:ilvl w:val="0"/>
          <w:numId w:val="17"/>
        </w:numPr>
      </w:pPr>
      <w:r>
        <w:rPr>
          <w:rFonts w:ascii="Times New Roman" w:hAnsi="Times New Roman" w:eastAsia="Times New Roman"/>
          <w:b w:val="0"/>
          <w:i w:val="0"/>
          <w:color w:val="000000"/>
          <w:sz w:val="24"/>
        </w:rPr>
        <w:t>Jenis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xml:space="preserve"> dipilih karena paling sesuai untuk menjaga outcome arah transformasi yang lebih fokus, prioritas investasi yang lebih defensible, roadmap eksekusi yang lebih mudah disetujui tetap realistis dicapai oleh Bluebird Group.</w:t>
      </w:r>
    </w:p>
    <w:p>
      <w:pPr>
        <w:pStyle w:val="ListBullet"/>
        <w:spacing w:before="0" w:after="80"/>
        <w:numPr>
          <w:ilvl w:val="0"/>
          <w:numId w:val="17"/>
        </w:numPr>
      </w:pPr>
      <w:r>
        <w:rPr>
          <w:rFonts w:ascii="Times New Roman" w:hAnsi="Times New Roman" w:eastAsia="Times New Roman"/>
          <w:b w:val="0"/>
          <w:i w:val="0"/>
          <w:color w:val="000000"/>
          <w:sz w:val="24"/>
        </w:rPr>
        <w:t>Dengan penajaman ini, arah pendekatan, metodologi, dan solution design dapat difokuskan pada kebutuhan yang benar-benar diputuskan untuk ditangani.</w:t>
      </w:r>
    </w:p>
    <w:p>
      <w:r>
        <w:br w:type="page"/>
      </w:r>
    </w:p>
    <w:p>
      <w:pPr>
        <w:pStyle w:val="Heading1"/>
        <w:spacing w:before="0" w:after="240"/>
        <w:jc w:val="center"/>
      </w:pPr>
      <w:r>
        <w:rPr>
          <w:rFonts w:ascii="Times New Roman" w:hAnsi="Times New Roman" w:eastAsia="Times New Roman"/>
          <w:b/>
          <w:color w:val="000000"/>
          <w:sz w:val="28"/>
        </w:rPr>
        <w:t>BAB IV – PENDEKATAN</w:t>
      </w:r>
    </w:p>
    <w:p>
      <w:r>
        <w:rPr>
          <w:rFonts w:ascii="Times New Roman" w:hAnsi="Times New Roman" w:eastAsia="Times New Roman"/>
          <w:b w:val="0"/>
          <w:i w:val="0"/>
          <w:color w:val="000000"/>
          <w:sz w:val="24"/>
        </w:rPr>
        <w:t>Pendekatan untuk Bluebird Group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 Dengan cara ini, sponsor dapat melihat bahwa arah penyelesaian masalah berdiri di atas fondasi yang bisa dipertanggungjawabkan. (Data Internal, 2026).</w:t>
      </w:r>
    </w:p>
    <w:p>
      <w:pPr>
        <w:pStyle w:val="Heading2"/>
      </w:pPr>
      <w:r>
        <w:rPr>
          <w:rFonts w:ascii="Times New Roman" w:hAnsi="Times New Roman" w:eastAsia="Times New Roman"/>
          <w:b/>
          <w:color w:val="000000"/>
          <w:sz w:val="24"/>
        </w:rPr>
        <w:t>4.1 Acuan Prinsip/Kerangka/Teori/Regulasi</w:t>
      </w:r>
    </w:p>
    <w:p>
      <w:r>
        <w:rPr>
          <w:rFonts w:ascii="Times New Roman" w:hAnsi="Times New Roman" w:eastAsia="Times New Roman"/>
          <w:b w:val="0"/>
          <w:i w:val="0"/>
          <w:color w:val="000000"/>
          <w:sz w:val="24"/>
        </w:rPr>
        <w:t>Pemilihan acuan untuk Bluebird Group diarahkan agar kebutuhan opportunity, directive dapat ditangani dengan bahasa kerja yang tetap konsisten terhadap operational excellence, risk control, business value. Artinya, acuan dipilih bukan karena popularitasnya, tetapi karena benar-benar membantu menyusun urutan keputusan, menjaga kualitas keluaran, dan menempatkan kontrol yang proporsional sejak awal.</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Acuan</w:t>
            </w:r>
          </w:p>
        </w:tc>
        <w:tc>
          <w:tcPr>
            <w:tcW w:type="dxa" w:w="3120"/>
            <w:shd w:fill="E7E6E6"/>
          </w:tcPr>
          <w:p>
            <w:pPr>
              <w:spacing w:before="0" w:after="40" w:lineRule="auto" w:line="240"/>
            </w:pPr>
            <w:r>
              <w:rPr>
                <w:rFonts w:ascii="Times New Roman" w:hAnsi="Times New Roman" w:eastAsia="Times New Roman"/>
                <w:b/>
                <w:i w:val="0"/>
                <w:color w:val="000000"/>
                <w:sz w:val="21"/>
              </w:rPr>
              <w:t>Peran dalam Proposal</w:t>
            </w:r>
          </w:p>
        </w:tc>
        <w:tc>
          <w:tcPr>
            <w:tcW w:type="dxa" w:w="3120"/>
            <w:shd w:fill="E7E6E6"/>
          </w:tcPr>
          <w:p>
            <w:pPr>
              <w:spacing w:before="0" w:after="40" w:lineRule="auto" w:line="240"/>
            </w:pPr>
            <w:r>
              <w:rPr>
                <w:rFonts w:ascii="Times New Roman" w:hAnsi="Times New Roman" w:eastAsia="Times New Roman"/>
                <w:b/>
                <w:i w:val="0"/>
                <w:color w:val="000000"/>
                <w:sz w:val="21"/>
              </w:rPr>
              <w:t>Relevansi bagi Klien</w:t>
            </w:r>
          </w:p>
        </w:tc>
      </w:tr>
      <w:tr>
        <w:tc>
          <w:tcPr>
            <w:tcW w:type="dxa" w:w="3120"/>
          </w:tcPr>
          <w:p>
            <w:pPr>
              <w:spacing w:before="0" w:after="40" w:lineRule="auto" w:line="240"/>
            </w:pPr>
            <w:r>
              <w:rPr>
                <w:rFonts w:ascii="Times New Roman" w:hAnsi="Times New Roman" w:eastAsia="Times New Roman"/>
                <w:b w:val="0"/>
                <w:i w:val="0"/>
                <w:color w:val="000000"/>
                <w:sz w:val="21"/>
              </w:rPr>
              <w:t>TOGAF</w:t>
            </w:r>
          </w:p>
        </w:tc>
        <w:tc>
          <w:tcPr>
            <w:tcW w:type="dxa" w:w="3120"/>
          </w:tcPr>
          <w:p>
            <w:pPr>
              <w:spacing w:before="0" w:after="40" w:lineRule="auto" w:line="240"/>
            </w:pPr>
            <w:r>
              <w:rPr>
                <w:rFonts w:ascii="Times New Roman" w:hAnsi="Times New Roman" w:eastAsia="Times New Roman"/>
                <w:b w:val="0"/>
                <w:i w:val="0"/>
                <w:color w:val="000000"/>
                <w:sz w:val="21"/>
              </w:rPr>
              <w:t>memberi struktur kerja agar desain, governance, dan prioritas implementasi tidak berjalan sporadis</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ITIL</w:t>
            </w:r>
          </w:p>
        </w:tc>
        <w:tc>
          <w:tcPr>
            <w:tcW w:type="dxa" w:w="3120"/>
          </w:tcPr>
          <w:p>
            <w:pPr>
              <w:spacing w:before="0" w:after="40" w:lineRule="auto" w:line="240"/>
            </w:pPr>
            <w:r>
              <w:rPr>
                <w:rFonts w:ascii="Times New Roman" w:hAnsi="Times New Roman" w:eastAsia="Times New Roman"/>
                <w:b w:val="0"/>
                <w:i w:val="0"/>
                <w:color w:val="000000"/>
                <w:sz w:val="21"/>
              </w:rPr>
              <w:t>memberi struktur kerja agar desain, governance, dan prioritas implementasi tidak berjalan sporadis</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ISO</w:t>
            </w:r>
          </w:p>
        </w:tc>
        <w:tc>
          <w:tcPr>
            <w:tcW w:type="dxa" w:w="3120"/>
          </w:tcPr>
          <w:p>
            <w:pPr>
              <w:spacing w:before="0" w:after="40" w:lineRule="auto" w:line="240"/>
            </w:pPr>
            <w:r>
              <w:rPr>
                <w:rFonts w:ascii="Times New Roman" w:hAnsi="Times New Roman" w:eastAsia="Times New Roman"/>
                <w:b w:val="0"/>
                <w:i w:val="0"/>
                <w:color w:val="000000"/>
                <w:sz w:val="21"/>
              </w:rPr>
              <w:t>memberi batas kepatuhan, kontrol minimum, dan ekspektasi kualitas yang wajib dijaga</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Best Practise</w:t>
            </w:r>
          </w:p>
        </w:tc>
        <w:tc>
          <w:tcPr>
            <w:tcW w:type="dxa" w:w="3120"/>
          </w:tcPr>
          <w:p>
            <w:pPr>
              <w:spacing w:before="0" w:after="40" w:lineRule="auto" w:line="240"/>
            </w:pPr>
            <w:r>
              <w:rPr>
                <w:rFonts w:ascii="Times New Roman" w:hAnsi="Times New Roman" w:eastAsia="Times New Roman"/>
                <w:b w:val="0"/>
                <w:i w:val="0"/>
                <w:color w:val="000000"/>
                <w:sz w:val="21"/>
              </w:rPr>
              <w:t>menjadi acuan praktis untuk menjaga kualitas keputusan, konsistensi langkah kerja, dan kontrol hasil</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bl>
    <w:p>
      <w:r>
        <w:rPr>
          <w:rFonts w:ascii="Times New Roman" w:hAnsi="Times New Roman" w:eastAsia="Times New Roman"/>
          <w:b w:val="0"/>
          <w:i w:val="0"/>
          <w:color w:val="000000"/>
          <w:sz w:val="24"/>
        </w:rPr>
        <w:t>Dengan acuan seperti di atas, Bluebird Group memperoleh pegangan yang jelas mengenai standar apa yang dipakai untuk menguji apakah solusi yang diusulkan memang selaras dengan konteks, risiko, dan ekspektasi hasil bisnis.</w:t>
      </w:r>
    </w:p>
    <w:p>
      <w:pPr>
        <w:pStyle w:val="Heading2"/>
      </w:pPr>
      <w:r>
        <w:rPr>
          <w:rFonts w:ascii="Times New Roman" w:hAnsi="Times New Roman" w:eastAsia="Times New Roman"/>
          <w:b/>
          <w:color w:val="000000"/>
          <w:sz w:val="24"/>
        </w:rPr>
        <w:t>4.2 Standar Penyelesaian Masalah</w:t>
      </w:r>
    </w:p>
    <w:p>
      <w:r>
        <w:rPr>
          <w:rFonts w:ascii="Times New Roman" w:hAnsi="Times New Roman" w:eastAsia="Times New Roman"/>
          <w:b w:val="0"/>
          <w:i w:val="0"/>
          <w:color w:val="000000"/>
          <w:sz w:val="24"/>
        </w:rPr>
        <w:t>Standar penyelesaian masalah pada proposal ini dijaga melalui alur kerja yang tertib, bukan lewat lompatan solusi. Bagi Bluebird Group, alur tersebut setidaknya harus mengikuti urutan berikut:</w:t>
      </w:r>
    </w:p>
    <w:p>
      <w:pPr>
        <w:pStyle w:val="ListNumber"/>
        <w:spacing w:before="0" w:after="80"/>
        <w:numPr>
          <w:ilvl w:val="0"/>
          <w:numId w:val="18"/>
        </w:numPr>
      </w:pPr>
      <w:r>
        <w:rPr>
          <w:rFonts w:ascii="Times New Roman" w:hAnsi="Times New Roman" w:eastAsia="Times New Roman"/>
          <w:b w:val="0"/>
          <w:i w:val="0"/>
          <w:color w:val="000000"/>
          <w:sz w:val="24"/>
        </w:rPr>
        <w:t>Memastikan definisi masalah, scope awal, dan target hasil benar-benar disepakati sponsor.</w:t>
      </w:r>
    </w:p>
    <w:p>
      <w:pPr>
        <w:pStyle w:val="ListNumber"/>
        <w:spacing w:before="0" w:after="80"/>
        <w:numPr>
          <w:ilvl w:val="0"/>
          <w:numId w:val="18"/>
        </w:numPr>
      </w:pPr>
      <w:r>
        <w:rPr>
          <w:rFonts w:ascii="Times New Roman" w:hAnsi="Times New Roman" w:eastAsia="Times New Roman"/>
          <w:b w:val="0"/>
          <w:i w:val="0"/>
          <w:color w:val="000000"/>
          <w:sz w:val="24"/>
        </w:rPr>
        <w:t>Memilih acuan yang paling relevan untuk menjaga kualitas keputusan, kontrol risiko, dan konsistensi pelaksanaan.</w:t>
      </w:r>
    </w:p>
    <w:p>
      <w:pPr>
        <w:pStyle w:val="ListNumber"/>
        <w:spacing w:before="0" w:after="80"/>
        <w:numPr>
          <w:ilvl w:val="0"/>
          <w:numId w:val="18"/>
        </w:numPr>
      </w:pPr>
      <w:r>
        <w:rPr>
          <w:rFonts w:ascii="Times New Roman" w:hAnsi="Times New Roman" w:eastAsia="Times New Roman"/>
          <w:b w:val="0"/>
          <w:i w:val="0"/>
          <w:color w:val="000000"/>
          <w:sz w:val="24"/>
        </w:rPr>
        <w:t>Menerjemahkan acuan tersebut ke langkah kerja, keluaran, dan gerbang mutu yang mudah diuji pada setiap fase.</w:t>
      </w:r>
    </w:p>
    <w:p>
      <w:pPr>
        <w:pStyle w:val="ListNumber"/>
        <w:spacing w:before="0" w:after="80"/>
        <w:numPr>
          <w:ilvl w:val="0"/>
          <w:numId w:val="18"/>
        </w:numPr>
      </w:pPr>
      <w:r>
        <w:rPr>
          <w:rFonts w:ascii="Times New Roman" w:hAnsi="Times New Roman" w:eastAsia="Times New Roman"/>
          <w:b w:val="0"/>
          <w:i w:val="0"/>
          <w:color w:val="000000"/>
          <w:sz w:val="24"/>
        </w:rPr>
        <w:t>Menjaga agar seluruh keputusan tetap kembali pada hasil seperti MAU/Adopsi kanal digital: target pertumbuhan terukur dalam 8 bulan., bukan melebar ke aktivitas yang tidak memberi dampak nyata.</w:t>
      </w:r>
    </w:p>
    <w:p>
      <w:pPr>
        <w:pStyle w:val="ListBullet"/>
        <w:spacing w:before="0" w:after="80"/>
        <w:numPr>
          <w:ilvl w:val="0"/>
          <w:numId w:val="19"/>
        </w:numPr>
      </w:pPr>
      <w:r>
        <w:rPr>
          <w:rFonts w:ascii="Times New Roman" w:hAnsi="Times New Roman" w:eastAsia="Times New Roman"/>
          <w:b w:val="0"/>
          <w:i w:val="0"/>
          <w:color w:val="000000"/>
          <w:sz w:val="24"/>
        </w:rPr>
        <w:t>Standar ini membantu proposal tetap dapat dipertanggungjawabkan karena setiap langkah punya alasan, batas, dan ukuran hasil yang jelas.</w:t>
      </w:r>
    </w:p>
    <w:p>
      <w:pPr>
        <w:pStyle w:val="ListBullet"/>
        <w:spacing w:before="0" w:after="80"/>
        <w:numPr>
          <w:ilvl w:val="0"/>
          <w:numId w:val="19"/>
        </w:numPr>
      </w:pPr>
      <w:r>
        <w:rPr>
          <w:rFonts w:ascii="Times New Roman" w:hAnsi="Times New Roman" w:eastAsia="Times New Roman"/>
          <w:b w:val="0"/>
          <w:i w:val="0"/>
          <w:color w:val="000000"/>
          <w:sz w:val="24"/>
        </w:rPr>
        <w:t>Standar ini juga menjaga agar diskusi dengan Bluebird Group tetap fokus pada apa yang perlu diputuskan, bukan hanya apa yang terdengar canggih.</w:t>
      </w:r>
    </w:p>
    <w:p>
      <w:pPr>
        <w:pStyle w:val="ListBullet"/>
        <w:spacing w:before="0" w:after="80"/>
        <w:numPr>
          <w:ilvl w:val="0"/>
          <w:numId w:val="19"/>
        </w:numPr>
      </w:pPr>
      <w:r>
        <w:rPr>
          <w:rFonts w:ascii="Times New Roman" w:hAnsi="Times New Roman" w:eastAsia="Times New Roman"/>
          <w:b w:val="0"/>
          <w:i w:val="0"/>
          <w:color w:val="000000"/>
          <w:sz w:val="24"/>
        </w:rPr>
        <w:t>Dengan disiplin seperti ini, bab metodologi sesudahnya dapat langsung berbicara tentang cara kerja yang konkret tanpa kehilangan dasar logikanya.</w:t>
      </w:r>
    </w:p>
    <w:p>
      <w:r>
        <w:br w:type="page"/>
      </w:r>
    </w:p>
    <w:p>
      <w:pPr>
        <w:pStyle w:val="Heading1"/>
        <w:spacing w:before="0" w:after="240"/>
        <w:jc w:val="center"/>
      </w:pPr>
      <w:r>
        <w:rPr>
          <w:rFonts w:ascii="Times New Roman" w:hAnsi="Times New Roman" w:eastAsia="Times New Roman"/>
          <w:b/>
          <w:color w:val="000000"/>
          <w:sz w:val="28"/>
        </w:rPr>
        <w:t>BAB V – METODOLOGI</w:t>
      </w:r>
    </w:p>
    <w:p>
      <w:r>
        <w:rPr>
          <w:rFonts w:ascii="Times New Roman" w:hAnsi="Times New Roman" w:eastAsia="Times New Roman"/>
          <w:b w:val="0"/>
          <w:i w:val="0"/>
          <w:color w:val="000000"/>
          <w:sz w:val="24"/>
        </w:rPr>
        <w:t>Metodologi untuk Bluebird Group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Times New Roman" w:hAnsi="Times New Roman" w:eastAsia="Times New Roman"/>
          <w:b/>
          <w:color w:val="000000"/>
          <w:sz w:val="24"/>
        </w:rPr>
        <w:t>5.1 Alasan Pemilihan Metodologi</w:t>
      </w:r>
    </w:p>
    <w:p>
      <w:r>
        <w:rPr>
          <w:rFonts w:ascii="Times New Roman" w:hAnsi="Times New Roman" w:eastAsia="Times New Roman"/>
          <w:b w:val="0"/>
          <w:i w:val="0"/>
          <w:color w:val="000000"/>
          <w:sz w:val="24"/>
        </w:rPr>
        <w:t>Metodologi dipilih dengan mempertimbangkan tipe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jenis layanan</w:t>
      </w:r>
      <w:r>
        <w:rPr>
          <w:rFonts w:ascii="Times New Roman" w:hAnsi="Times New Roman" w:eastAsia="Times New Roman"/>
          <w:b/>
          <w:i w:val="0"/>
          <w:color w:val="000000"/>
          <w:sz w:val="24"/>
        </w:rPr>
        <w:t xml:space="preserve"> Konsultan</w:t>
      </w:r>
      <w:r>
        <w:rPr>
          <w:rFonts w:ascii="Times New Roman" w:hAnsi="Times New Roman" w:eastAsia="Times New Roman"/>
          <w:b w:val="0"/>
          <w:i w:val="0"/>
          <w:color w:val="000000"/>
          <w:sz w:val="24"/>
        </w:rPr>
        <w:t>, horizon</w:t>
      </w:r>
      <w:r>
        <w:rPr>
          <w:rFonts w:ascii="Times New Roman" w:hAnsi="Times New Roman" w:eastAsia="Times New Roman"/>
          <w:b/>
          <w:i w:val="0"/>
          <w:color w:val="000000"/>
          <w:sz w:val="24"/>
        </w:rPr>
        <w:t xml:space="preserve"> 8 Bulan</w:t>
      </w:r>
      <w:r>
        <w:rPr>
          <w:rFonts w:ascii="Times New Roman" w:hAnsi="Times New Roman" w:eastAsia="Times New Roman"/>
          <w:b w:val="0"/>
          <w:i w:val="0"/>
          <w:color w:val="000000"/>
          <w:sz w:val="24"/>
        </w:rPr>
        <w:t>, serta kebutuhan Bluebird Group untuk menjaga arah transformasi yang lebih fokus, prioritas investasi yang lebih defensible, roadmap eksekusi yang lebih mudah disetujui. Baseline internal yang digunakan adalah visioning, target operating model, roadmap, board presentation, namun penerapannya disesuaikan agar tetap relevan dengan konteks maas (mobility as a service) dan tekanan seperti digital booking bluebird masih tertinggal, integrasi layanan taxi-rental-shuttle belum menyatu, dan adopsi driver terhadap kanal digital masih rendah. Bagi Bluebird Group, metodologi ini dipilih karena memberi keseimbangan antara kecepatan mobilisasi, kualitas hasil, dan kontrol keputusan.</w:t>
      </w:r>
    </w:p>
    <w:p>
      <w:pPr>
        <w:pStyle w:val="ListNumber"/>
        <w:spacing w:before="0" w:after="80"/>
        <w:numPr>
          <w:ilvl w:val="0"/>
          <w:numId w:val="20"/>
        </w:numPr>
      </w:pPr>
      <w:r>
        <w:rPr>
          <w:rFonts w:ascii="Times New Roman" w:hAnsi="Times New Roman" w:eastAsia="Times New Roman"/>
          <w:b w:val="0"/>
          <w:i w:val="0"/>
          <w:color w:val="000000"/>
          <w:sz w:val="24"/>
        </w:rPr>
        <w:t>Metodologi ini menjaga agar tiap fase punya tujuan yang jelas, bukan sekadar daftar aktivitas.</w:t>
      </w:r>
    </w:p>
    <w:p>
      <w:pPr>
        <w:pStyle w:val="ListNumber"/>
        <w:spacing w:before="0" w:after="80"/>
        <w:numPr>
          <w:ilvl w:val="0"/>
          <w:numId w:val="20"/>
        </w:numPr>
      </w:pPr>
      <w:r>
        <w:rPr>
          <w:rFonts w:ascii="Times New Roman" w:hAnsi="Times New Roman" w:eastAsia="Times New Roman"/>
          <w:b w:val="0"/>
          <w:i w:val="0"/>
          <w:color w:val="000000"/>
          <w:sz w:val="24"/>
        </w:rPr>
        <w:t>Metodologi ini memudahkan sponsor membaca hubungan antara ruang lingkup, keluaran, dan gerbang mutu sebelum program bergerak terlalu jauh.</w:t>
      </w:r>
    </w:p>
    <w:p>
      <w:pPr>
        <w:pStyle w:val="ListNumber"/>
        <w:spacing w:before="0" w:after="80"/>
        <w:numPr>
          <w:ilvl w:val="0"/>
          <w:numId w:val="20"/>
        </w:numPr>
      </w:pPr>
      <w:r>
        <w:rPr>
          <w:rFonts w:ascii="Times New Roman" w:hAnsi="Times New Roman" w:eastAsia="Times New Roman"/>
          <w:b w:val="0"/>
          <w:i w:val="0"/>
          <w:color w:val="000000"/>
          <w:sz w:val="24"/>
        </w:rPr>
        <w:t>Metodologi ini cukup fleksibel untuk merespons perubahan prioritas, tetapi tetap disiplin terhadap akuntabilitas hasil.</w:t>
      </w:r>
    </w:p>
    <w:p>
      <w:pPr>
        <w:pStyle w:val="ListNumber"/>
        <w:spacing w:before="0" w:after="80"/>
        <w:numPr>
          <w:ilvl w:val="0"/>
          <w:numId w:val="20"/>
        </w:numPr>
      </w:pPr>
      <w:r>
        <w:rPr>
          <w:rFonts w:ascii="Times New Roman" w:hAnsi="Times New Roman" w:eastAsia="Times New Roman"/>
          <w:b w:val="0"/>
          <w:i w:val="0"/>
          <w:color w:val="000000"/>
          <w:sz w:val="24"/>
        </w:rPr>
        <w:t>Metodologi ini paling sesuai untuk memastikan nilai bisnis yang dijanjikan turun menjadi jalur kerja yang dapat dioperasionalkan.</w:t>
      </w:r>
    </w:p>
    <w:p>
      <w:pPr>
        <w:pStyle w:val="ListBullet"/>
        <w:spacing w:before="0" w:after="80"/>
        <w:numPr>
          <w:ilvl w:val="0"/>
          <w:numId w:val="21"/>
        </w:numPr>
      </w:pPr>
      <w:r>
        <w:rPr>
          <w:rFonts w:ascii="Times New Roman" w:hAnsi="Times New Roman" w:eastAsia="Times New Roman"/>
          <w:b w:val="0"/>
          <w:i w:val="0"/>
          <w:color w:val="000000"/>
          <w:sz w:val="24"/>
        </w:rPr>
        <w:t>Dengan metodologi seperti ini, forum kerja Bluebird Group bisa fokus pada keputusan penting, bukan menghabiskan energi untuk merapikan ulang arah kerja setiap saat.</w:t>
      </w:r>
    </w:p>
    <w:p>
      <w:pPr>
        <w:pStyle w:val="ListBullet"/>
        <w:spacing w:before="0" w:after="80"/>
        <w:numPr>
          <w:ilvl w:val="0"/>
          <w:numId w:val="21"/>
        </w:numPr>
      </w:pPr>
      <w:r>
        <w:rPr>
          <w:rFonts w:ascii="Times New Roman" w:hAnsi="Times New Roman" w:eastAsia="Times New Roman"/>
          <w:b w:val="0"/>
          <w:i w:val="0"/>
          <w:color w:val="000000"/>
          <w:sz w:val="24"/>
        </w:rPr>
        <w:t>Bagi perusahaan penyusun, metodologi ini juga memudahkan penempatan peninjau mutu, penerimaan keluaran, dan kontrol perubahan sejak awal.</w:t>
      </w:r>
    </w:p>
    <w:p>
      <w:pPr>
        <w:pStyle w:val="Heading2"/>
      </w:pPr>
      <w:r>
        <w:rPr>
          <w:rFonts w:ascii="Times New Roman" w:hAnsi="Times New Roman" w:eastAsia="Times New Roman"/>
          <w:b/>
          <w:color w:val="000000"/>
          <w:sz w:val="24"/>
        </w:rPr>
        <w:t>5.2 Langkah Kerja dengan Kerangka Acuan Terpilih</w:t>
      </w:r>
    </w:p>
    <w:p>
      <w:r>
        <w:rPr>
          <w:rFonts w:ascii="Times New Roman" w:hAnsi="Times New Roman" w:eastAsia="Times New Roman"/>
          <w:b w:val="0"/>
          <w:i w:val="0"/>
          <w:color w:val="000000"/>
          <w:sz w:val="24"/>
        </w:rPr>
        <w:t>Langkah kerja berikut dipakai untuk menerjemahkan pendekatan ke ritme pelaksanaan yang lebih konkret: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7E6E6"/>
          </w:tcPr>
          <w:p>
            <w:pPr>
              <w:spacing w:before="0" w:after="40" w:lineRule="auto" w:line="240"/>
            </w:pPr>
            <w:r>
              <w:rPr>
                <w:rFonts w:ascii="Times New Roman" w:hAnsi="Times New Roman" w:eastAsia="Times New Roman"/>
                <w:b/>
                <w:i w:val="0"/>
                <w:color w:val="000000"/>
                <w:sz w:val="21"/>
              </w:rPr>
              <w:t>Fase</w:t>
            </w:r>
          </w:p>
        </w:tc>
        <w:tc>
          <w:tcPr>
            <w:tcW w:type="dxa" w:w="1872"/>
            <w:shd w:fill="E7E6E6"/>
          </w:tcPr>
          <w:p>
            <w:pPr>
              <w:spacing w:before="0" w:after="40" w:lineRule="auto" w:line="240"/>
            </w:pPr>
            <w:r>
              <w:rPr>
                <w:rFonts w:ascii="Times New Roman" w:hAnsi="Times New Roman" w:eastAsia="Times New Roman"/>
                <w:b/>
                <w:i w:val="0"/>
                <w:color w:val="000000"/>
                <w:sz w:val="21"/>
              </w:rPr>
              <w:t>Periode</w:t>
            </w:r>
          </w:p>
        </w:tc>
        <w:tc>
          <w:tcPr>
            <w:tcW w:type="dxa" w:w="1872"/>
            <w:shd w:fill="E7E6E6"/>
          </w:tcPr>
          <w:p>
            <w:pPr>
              <w:spacing w:before="0" w:after="40" w:lineRule="auto" w:line="240"/>
            </w:pPr>
            <w:r>
              <w:rPr>
                <w:rFonts w:ascii="Times New Roman" w:hAnsi="Times New Roman" w:eastAsia="Times New Roman"/>
                <w:b/>
                <w:i w:val="0"/>
                <w:color w:val="000000"/>
                <w:sz w:val="21"/>
              </w:rPr>
              <w:t>Tujuan Kerja</w:t>
            </w:r>
          </w:p>
        </w:tc>
        <w:tc>
          <w:tcPr>
            <w:tcW w:type="dxa" w:w="1872"/>
            <w:shd w:fill="E7E6E6"/>
          </w:tcPr>
          <w:p>
            <w:pPr>
              <w:spacing w:before="0" w:after="40" w:lineRule="auto" w:line="240"/>
            </w:pPr>
            <w:r>
              <w:rPr>
                <w:rFonts w:ascii="Times New Roman" w:hAnsi="Times New Roman" w:eastAsia="Times New Roman"/>
                <w:b/>
                <w:i w:val="0"/>
                <w:color w:val="000000"/>
                <w:sz w:val="21"/>
              </w:rPr>
              <w:t>Keluaran Utama</w:t>
            </w:r>
          </w:p>
        </w:tc>
        <w:tc>
          <w:tcPr>
            <w:tcW w:type="dxa" w:w="1872"/>
            <w:shd w:fill="E7E6E6"/>
          </w:tcPr>
          <w:p>
            <w:pPr>
              <w:spacing w:before="0" w:after="40" w:lineRule="auto" w:line="240"/>
            </w:pPr>
            <w:r>
              <w:rPr>
                <w:rFonts w:ascii="Times New Roman" w:hAnsi="Times New Roman" w:eastAsia="Times New Roman"/>
                <w:b/>
                <w:i w:val="0"/>
                <w:color w:val="000000"/>
                <w:sz w:val="21"/>
              </w:rPr>
              <w:t>Gerbang Mutu</w:t>
            </w:r>
          </w:p>
        </w:tc>
      </w:tr>
      <w:tr>
        <w:tc>
          <w:tcPr>
            <w:tcW w:type="dxa" w:w="1872"/>
          </w:tcPr>
          <w:p>
            <w:pPr>
              <w:spacing w:before="0" w:after="40" w:lineRule="auto" w:line="240"/>
            </w:pPr>
            <w:r>
              <w:rPr>
                <w:rFonts w:ascii="Times New Roman" w:hAnsi="Times New Roman" w:eastAsia="Times New Roman"/>
                <w:b w:val="0"/>
                <w:i w:val="0"/>
                <w:color w:val="000000"/>
                <w:sz w:val="21"/>
              </w:rPr>
              <w:t>Business Alignment</w:t>
            </w:r>
          </w:p>
        </w:tc>
        <w:tc>
          <w:tcPr>
            <w:tcW w:type="dxa" w:w="1872"/>
          </w:tcPr>
          <w:p>
            <w:pPr>
              <w:spacing w:before="0" w:after="40" w:lineRule="auto" w:line="240"/>
            </w:pPr>
            <w:r>
              <w:rPr>
                <w:rFonts w:ascii="Times New Roman" w:hAnsi="Times New Roman" w:eastAsia="Times New Roman"/>
                <w:b w:val="0"/>
                <w:i w:val="0"/>
                <w:color w:val="000000"/>
                <w:sz w:val="21"/>
              </w:rPr>
              <w:t>Bulan 1-2</w:t>
            </w:r>
          </w:p>
        </w:tc>
        <w:tc>
          <w:tcPr>
            <w:tcW w:type="dxa" w:w="1872"/>
          </w:tcPr>
          <w:p>
            <w:pPr>
              <w:spacing w:before="0" w:after="40" w:lineRule="auto" w:line="240"/>
            </w:pPr>
            <w:r>
              <w:rPr>
                <w:rFonts w:ascii="Times New Roman" w:hAnsi="Times New Roman" w:eastAsia="Times New Roman"/>
                <w:b w:val="0"/>
                <w:i w:val="0"/>
                <w:color w:val="000000"/>
                <w:sz w:val="21"/>
              </w:rPr>
              <w:t>Sinkronkan sasaran bisnis, sponsor, dan outcome yang diharapkan.</w:t>
            </w:r>
          </w:p>
        </w:tc>
        <w:tc>
          <w:tcPr>
            <w:tcW w:type="dxa" w:w="1872"/>
          </w:tcPr>
          <w:p>
            <w:pPr>
              <w:spacing w:before="0" w:after="40" w:lineRule="auto" w:line="240"/>
            </w:pPr>
            <w:r>
              <w:rPr>
                <w:rFonts w:ascii="Times New Roman" w:hAnsi="Times New Roman" w:eastAsia="Times New Roman"/>
                <w:b w:val="0"/>
                <w:i w:val="0"/>
                <w:color w:val="000000"/>
                <w:sz w:val="21"/>
              </w:rPr>
              <w:t>alignment charter dan target state</w:t>
            </w:r>
          </w:p>
        </w:tc>
        <w:tc>
          <w:tcPr>
            <w:tcW w:type="dxa" w:w="1872"/>
          </w:tcPr>
          <w:p>
            <w:pPr>
              <w:spacing w:before="0" w:after="40" w:lineRule="auto" w:line="240"/>
            </w:pPr>
            <w:r>
              <w:rPr>
                <w:rFonts w:ascii="Times New Roman" w:hAnsi="Times New Roman" w:eastAsia="Times New Roman"/>
                <w:b w:val="0"/>
                <w:i w:val="0"/>
                <w:color w:val="000000"/>
                <w:sz w:val="21"/>
              </w:rPr>
              <w:t>baseline kebutuhan dan agenda kerja disetujui sponsor</w:t>
            </w:r>
          </w:p>
        </w:tc>
      </w:tr>
      <w:tr>
        <w:tc>
          <w:tcPr>
            <w:tcW w:type="dxa" w:w="1872"/>
          </w:tcPr>
          <w:p>
            <w:pPr>
              <w:spacing w:before="0" w:after="40" w:lineRule="auto" w:line="240"/>
            </w:pPr>
            <w:r>
              <w:rPr>
                <w:rFonts w:ascii="Times New Roman" w:hAnsi="Times New Roman" w:eastAsia="Times New Roman"/>
                <w:b w:val="0"/>
                <w:i w:val="0"/>
                <w:color w:val="000000"/>
                <w:sz w:val="21"/>
              </w:rPr>
              <w:t>Target Design</w:t>
            </w:r>
          </w:p>
        </w:tc>
        <w:tc>
          <w:tcPr>
            <w:tcW w:type="dxa" w:w="1872"/>
          </w:tcPr>
          <w:p>
            <w:pPr>
              <w:spacing w:before="0" w:after="40" w:lineRule="auto" w:line="240"/>
            </w:pPr>
            <w:r>
              <w:rPr>
                <w:rFonts w:ascii="Times New Roman" w:hAnsi="Times New Roman" w:eastAsia="Times New Roman"/>
                <w:b w:val="0"/>
                <w:i w:val="0"/>
                <w:color w:val="000000"/>
                <w:sz w:val="21"/>
              </w:rPr>
              <w:t>Bulan 3-5</w:t>
            </w:r>
          </w:p>
        </w:tc>
        <w:tc>
          <w:tcPr>
            <w:tcW w:type="dxa" w:w="1872"/>
          </w:tcPr>
          <w:p>
            <w:pPr>
              <w:spacing w:before="0" w:after="40" w:lineRule="auto" w:line="240"/>
            </w:pPr>
            <w:r>
              <w:rPr>
                <w:rFonts w:ascii="Times New Roman" w:hAnsi="Times New Roman" w:eastAsia="Times New Roman"/>
                <w:b w:val="0"/>
                <w:i w:val="0"/>
                <w:color w:val="000000"/>
                <w:sz w:val="21"/>
              </w:rPr>
              <w:t>Rancang operating model, prinsip arsitektur, dan opsi strategi.</w:t>
            </w:r>
          </w:p>
        </w:tc>
        <w:tc>
          <w:tcPr>
            <w:tcW w:type="dxa" w:w="1872"/>
          </w:tcPr>
          <w:p>
            <w:pPr>
              <w:spacing w:before="0" w:after="40" w:lineRule="auto" w:line="240"/>
            </w:pPr>
            <w:r>
              <w:rPr>
                <w:rFonts w:ascii="Times New Roman" w:hAnsi="Times New Roman" w:eastAsia="Times New Roman"/>
                <w:b w:val="0"/>
                <w:i w:val="0"/>
                <w:color w:val="000000"/>
                <w:sz w:val="21"/>
              </w:rPr>
              <w:t>target operating model</w:t>
            </w:r>
          </w:p>
        </w:tc>
        <w:tc>
          <w:tcPr>
            <w:tcW w:type="dxa" w:w="1872"/>
          </w:tcPr>
          <w:p>
            <w:pPr>
              <w:spacing w:before="0" w:after="40" w:lineRule="auto" w:line="240"/>
            </w:pPr>
            <w:r>
              <w:rPr>
                <w:rFonts w:ascii="Times New Roman" w:hAnsi="Times New Roman" w:eastAsia="Times New Roman"/>
                <w:b w:val="0"/>
                <w:i w:val="0"/>
                <w:color w:val="000000"/>
                <w:sz w:val="21"/>
              </w:rPr>
              <w:t>hasil fase tervalidasi sebelum masuk ke fase berikutnya</w:t>
            </w:r>
          </w:p>
        </w:tc>
      </w:tr>
      <w:tr>
        <w:tc>
          <w:tcPr>
            <w:tcW w:type="dxa" w:w="1872"/>
          </w:tcPr>
          <w:p>
            <w:pPr>
              <w:spacing w:before="0" w:after="40" w:lineRule="auto" w:line="240"/>
            </w:pPr>
            <w:r>
              <w:rPr>
                <w:rFonts w:ascii="Times New Roman" w:hAnsi="Times New Roman" w:eastAsia="Times New Roman"/>
                <w:b w:val="0"/>
                <w:i w:val="0"/>
                <w:color w:val="000000"/>
                <w:sz w:val="21"/>
              </w:rPr>
              <w:t>Roadmap Prioritization</w:t>
            </w:r>
          </w:p>
        </w:tc>
        <w:tc>
          <w:tcPr>
            <w:tcW w:type="dxa" w:w="1872"/>
          </w:tcPr>
          <w:p>
            <w:pPr>
              <w:spacing w:before="0" w:after="40" w:lineRule="auto" w:line="240"/>
            </w:pPr>
            <w:r>
              <w:rPr>
                <w:rFonts w:ascii="Times New Roman" w:hAnsi="Times New Roman" w:eastAsia="Times New Roman"/>
                <w:b w:val="0"/>
                <w:i w:val="0"/>
                <w:color w:val="000000"/>
                <w:sz w:val="21"/>
              </w:rPr>
              <w:t>Bulan 6-7</w:t>
            </w:r>
          </w:p>
        </w:tc>
        <w:tc>
          <w:tcPr>
            <w:tcW w:type="dxa" w:w="1872"/>
          </w:tcPr>
          <w:p>
            <w:pPr>
              <w:spacing w:before="0" w:after="40" w:lineRule="auto" w:line="240"/>
            </w:pPr>
            <w:r>
              <w:rPr>
                <w:rFonts w:ascii="Times New Roman" w:hAnsi="Times New Roman" w:eastAsia="Times New Roman"/>
                <w:b w:val="0"/>
                <w:i w:val="0"/>
                <w:color w:val="000000"/>
                <w:sz w:val="21"/>
              </w:rPr>
              <w:t>Urutkan inisiatif berdasarkan manfaat, risiko, dan kesiapan.</w:t>
            </w:r>
          </w:p>
        </w:tc>
        <w:tc>
          <w:tcPr>
            <w:tcW w:type="dxa" w:w="1872"/>
          </w:tcPr>
          <w:p>
            <w:pPr>
              <w:spacing w:before="0" w:after="40" w:lineRule="auto" w:line="240"/>
            </w:pPr>
            <w:r>
              <w:rPr>
                <w:rFonts w:ascii="Times New Roman" w:hAnsi="Times New Roman" w:eastAsia="Times New Roman"/>
                <w:b w:val="0"/>
                <w:i w:val="0"/>
                <w:color w:val="000000"/>
                <w:sz w:val="21"/>
              </w:rPr>
              <w:t>roadmap prioritas dan sequencing</w:t>
            </w:r>
          </w:p>
        </w:tc>
        <w:tc>
          <w:tcPr>
            <w:tcW w:type="dxa" w:w="1872"/>
          </w:tcPr>
          <w:p>
            <w:pPr>
              <w:spacing w:before="0" w:after="40" w:lineRule="auto" w:line="240"/>
            </w:pPr>
            <w:r>
              <w:rPr>
                <w:rFonts w:ascii="Times New Roman" w:hAnsi="Times New Roman" w:eastAsia="Times New Roman"/>
                <w:b w:val="0"/>
                <w:i w:val="0"/>
                <w:color w:val="000000"/>
                <w:sz w:val="21"/>
              </w:rPr>
              <w:t>hasil fase tervalidasi sebelum masuk ke fase berikutnya</w:t>
            </w:r>
          </w:p>
        </w:tc>
      </w:tr>
      <w:tr>
        <w:tc>
          <w:tcPr>
            <w:tcW w:type="dxa" w:w="1872"/>
          </w:tcPr>
          <w:p>
            <w:pPr>
              <w:spacing w:before="0" w:after="40" w:lineRule="auto" w:line="240"/>
            </w:pPr>
            <w:r>
              <w:rPr>
                <w:rFonts w:ascii="Times New Roman" w:hAnsi="Times New Roman" w:eastAsia="Times New Roman"/>
                <w:b w:val="0"/>
                <w:i w:val="0"/>
                <w:color w:val="000000"/>
                <w:sz w:val="21"/>
              </w:rPr>
              <w:t>Executive Closure</w:t>
            </w:r>
          </w:p>
        </w:tc>
        <w:tc>
          <w:tcPr>
            <w:tcW w:type="dxa" w:w="1872"/>
          </w:tcPr>
          <w:p>
            <w:pPr>
              <w:spacing w:before="0" w:after="40" w:lineRule="auto" w:line="240"/>
            </w:pPr>
            <w:r>
              <w:rPr>
                <w:rFonts w:ascii="Times New Roman" w:hAnsi="Times New Roman" w:eastAsia="Times New Roman"/>
                <w:b w:val="0"/>
                <w:i w:val="0"/>
                <w:color w:val="000000"/>
                <w:sz w:val="21"/>
              </w:rPr>
              <w:t>Bulan 8</w:t>
            </w:r>
          </w:p>
        </w:tc>
        <w:tc>
          <w:tcPr>
            <w:tcW w:type="dxa" w:w="1872"/>
          </w:tcPr>
          <w:p>
            <w:pPr>
              <w:spacing w:before="0" w:after="40" w:lineRule="auto" w:line="240"/>
            </w:pPr>
            <w:r>
              <w:rPr>
                <w:rFonts w:ascii="Times New Roman" w:hAnsi="Times New Roman" w:eastAsia="Times New Roman"/>
                <w:b w:val="0"/>
                <w:i w:val="0"/>
                <w:color w:val="000000"/>
                <w:sz w:val="21"/>
              </w:rPr>
              <w:t>Finalisasi keputusan eksekutif dan arahan mobilisasi.</w:t>
            </w:r>
          </w:p>
        </w:tc>
        <w:tc>
          <w:tcPr>
            <w:tcW w:type="dxa" w:w="1872"/>
          </w:tcPr>
          <w:p>
            <w:pPr>
              <w:spacing w:before="0" w:after="40" w:lineRule="auto" w:line="240"/>
            </w:pPr>
            <w:r>
              <w:rPr>
                <w:rFonts w:ascii="Times New Roman" w:hAnsi="Times New Roman" w:eastAsia="Times New Roman"/>
                <w:b w:val="0"/>
                <w:i w:val="0"/>
                <w:color w:val="000000"/>
                <w:sz w:val="21"/>
              </w:rPr>
              <w:t>board-ready recommendation</w:t>
            </w:r>
          </w:p>
        </w:tc>
        <w:tc>
          <w:tcPr>
            <w:tcW w:type="dxa" w:w="1872"/>
          </w:tcPr>
          <w:p>
            <w:pPr>
              <w:spacing w:before="0" w:after="40" w:lineRule="auto" w:line="240"/>
            </w:pPr>
            <w:r>
              <w:rPr>
                <w:rFonts w:ascii="Times New Roman" w:hAnsi="Times New Roman" w:eastAsia="Times New Roman"/>
                <w:b w:val="0"/>
                <w:i w:val="0"/>
                <w:color w:val="000000"/>
                <w:sz w:val="21"/>
              </w:rPr>
              <w:t>keluaran akhir diterima dan langkah lanjutan disepakati</w:t>
            </w:r>
          </w:p>
        </w:tc>
      </w:tr>
    </w:tbl>
    <w:p>
      <w:r>
        <w:rPr>
          <w:rFonts w:ascii="Times New Roman" w:hAnsi="Times New Roman" w:eastAsia="Times New Roman"/>
          <w:b w:val="0"/>
          <w:i w:val="0"/>
          <w:color w:val="000000"/>
          <w:sz w:val="24"/>
        </w:rPr>
        <w:t>Struktur fase di atas memastikan bahwa Bluebird Group selalu memiliki titik evaluasi yang jelas sebelum bergerak ke tahap berikutnya. Artinya, setiap keluaran bukan hanya artefak administratif, melainkan bahan keputusan yang dipakai untuk menguji apakah program masih berada pada jalur yang mendukung KPI seperti MAU/Adopsi kanal digital: target pertumbuhan terukur dalam 8 bulan.. Dengan demikian, metodologi tidak sekadar menjelaskan urutan kerja, tetapi juga menjaga disiplin transisi dari satu fase ke fase berikutnya.</w:t>
      </w:r>
    </w:p>
    <w:p>
      <w:pPr>
        <w:pStyle w:val="ListBullet"/>
        <w:spacing w:before="0" w:after="80"/>
        <w:numPr>
          <w:ilvl w:val="0"/>
          <w:numId w:val="22"/>
        </w:numPr>
      </w:pPr>
      <w:r>
        <w:rPr>
          <w:rFonts w:ascii="Times New Roman" w:hAnsi="Times New Roman" w:eastAsia="Times New Roman"/>
          <w:b w:val="0"/>
          <w:i w:val="0"/>
          <w:color w:val="000000"/>
          <w:sz w:val="24"/>
        </w:rPr>
        <w:t>Setiap fase diikat oleh gerbang mutu agar keputusan tentang lanjut, koreksi arah, atau penyesuaian ruang lingkup tidak dilakukan secara informal.</w:t>
      </w:r>
    </w:p>
    <w:p>
      <w:pPr>
        <w:pStyle w:val="ListBullet"/>
        <w:spacing w:before="0" w:after="80"/>
        <w:numPr>
          <w:ilvl w:val="0"/>
          <w:numId w:val="22"/>
        </w:numPr>
      </w:pPr>
      <w:r>
        <w:rPr>
          <w:rFonts w:ascii="Times New Roman" w:hAnsi="Times New Roman" w:eastAsia="Times New Roman"/>
          <w:b w:val="0"/>
          <w:i w:val="0"/>
          <w:color w:val="000000"/>
          <w:sz w:val="24"/>
        </w:rPr>
        <w:t>Ritme kerja ini membantu Bluebird Group menjaga kesinambungan antara forum sponsor, tim inti, dan pelaksana kerja.</w:t>
      </w:r>
    </w:p>
    <w:p>
      <w:pPr>
        <w:pStyle w:val="ListBullet"/>
        <w:spacing w:before="0" w:after="80"/>
        <w:numPr>
          <w:ilvl w:val="0"/>
          <w:numId w:val="22"/>
        </w:numPr>
      </w:pPr>
      <w:r>
        <w:rPr>
          <w:rFonts w:ascii="Times New Roman" w:hAnsi="Times New Roman" w:eastAsia="Times New Roman"/>
          <w:b w:val="0"/>
          <w:i w:val="0"/>
          <w:color w:val="000000"/>
          <w:sz w:val="24"/>
        </w:rPr>
        <w:t>Dengan pola ini, bab desain solusi setelahnya dapat langsung menjelaskan bentuk keluaran dan manfaat praktis tanpa harus mengulang dasar cara kerjanya.</w:t>
      </w:r>
    </w:p>
    <w:p>
      <w:r>
        <w:br w:type="page"/>
      </w:r>
    </w:p>
    <w:p>
      <w:pPr>
        <w:pStyle w:val="Heading1"/>
        <w:spacing w:before="0" w:after="240"/>
        <w:jc w:val="center"/>
      </w:pPr>
      <w:r>
        <w:rPr>
          <w:rFonts w:ascii="Times New Roman" w:hAnsi="Times New Roman" w:eastAsia="Times New Roman"/>
          <w:b/>
          <w:color w:val="000000"/>
          <w:sz w:val="28"/>
        </w:rPr>
        <w:t>BAB VI – SOLUTION DESIGN</w:t>
      </w:r>
    </w:p>
    <w:p>
      <w:r>
        <w:rPr>
          <w:rFonts w:ascii="Times New Roman" w:hAnsi="Times New Roman" w:eastAsia="Times New Roman"/>
          <w:b w:val="0"/>
          <w:i w:val="0"/>
          <w:color w:val="000000"/>
          <w:sz w:val="24"/>
        </w:rPr>
        <w:t>Solution design untuk Bluebird Group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maas (mobility as a service) secara nyata. Dengan pendekatan ini, desain solusi tetap terhubung ke KPI seperti MAU/Adopsi kanal digital: target pertumbuhan terukur dalam 8 bulan., sekaligus menjaga nilai proposal tetap terasa konkret dan dapat dijalankan (Data Internal, 2026).</w:t>
      </w:r>
    </w:p>
    <w:p>
      <w:pPr>
        <w:pStyle w:val="Heading2"/>
      </w:pPr>
      <w:r>
        <w:rPr>
          <w:rFonts w:ascii="Times New Roman" w:hAnsi="Times New Roman" w:eastAsia="Times New Roman"/>
          <w:b/>
          <w:color w:val="000000"/>
          <w:sz w:val="24"/>
        </w:rPr>
        <w:t>6.1 Solusi/Output Metodologi yang Dibangun</w:t>
      </w:r>
    </w:p>
    <w:p>
      <w:r>
        <w:rPr>
          <w:rFonts w:ascii="Times New Roman" w:hAnsi="Times New Roman" w:eastAsia="Times New Roman"/>
          <w:b w:val="0"/>
          <w:i w:val="0"/>
          <w:color w:val="000000"/>
          <w:sz w:val="24"/>
        </w:rPr>
        <w:t>Solusi yang ditawarkan diarahkan untuk membantu Bluebird Group bergerak dari kebutuhan opportunity, directive menuju kondisi target yang lebih terukur. Karena itu, desain solusi tidak ditulis sebagai konsep yang berdiri sendiri, tetapi sebagai rangkaian output kerja yang diturunkan dari metodologi Visioning, Target Operating Model, Roadmap, Board Presentation.</w:t>
      </w:r>
    </w:p>
    <w:p>
      <w:pPr>
        <w:pStyle w:val="ListBullet"/>
        <w:spacing w:before="0" w:after="80"/>
        <w:numPr>
          <w:ilvl w:val="0"/>
          <w:numId w:val="23"/>
        </w:numPr>
      </w:pPr>
      <w:r>
        <w:rPr>
          <w:rFonts w:ascii="Times New Roman" w:hAnsi="Times New Roman" w:eastAsia="Times New Roman"/>
          <w:b w:val="0"/>
          <w:i w:val="0"/>
          <w:color w:val="000000"/>
          <w:sz w:val="24"/>
        </w:rPr>
        <w:t>Output utama dirancang agar keputusan sponsor, kontrol delivery, dan koordinasi stakeholder tetap bergerak dengan istilah kerja operational excellence, risk control, business value.</w:t>
      </w:r>
    </w:p>
    <w:p>
      <w:pPr>
        <w:pStyle w:val="ListBullet"/>
        <w:spacing w:before="0" w:after="80"/>
        <w:numPr>
          <w:ilvl w:val="0"/>
          <w:numId w:val="23"/>
        </w:numPr>
      </w:pPr>
      <w:r>
        <w:rPr>
          <w:rFonts w:ascii="Times New Roman" w:hAnsi="Times New Roman" w:eastAsia="Times New Roman"/>
          <w:b w:val="0"/>
          <w:i w:val="0"/>
          <w:color w:val="000000"/>
          <w:sz w:val="24"/>
        </w:rPr>
        <w:t>Target state yang dibangun harus tetap selaras dengan manfaat yang dijanjikan, terutama arah transformasi yang lebih fokus, prioritas investasi yang lebih defensible, roadmap eksekusi yang lebih mudah disetujui.</w:t>
      </w:r>
    </w:p>
    <w:p>
      <w:pPr>
        <w:pStyle w:val="ListBullet"/>
        <w:spacing w:before="0" w:after="80"/>
        <w:numPr>
          <w:ilvl w:val="0"/>
          <w:numId w:val="23"/>
        </w:numPr>
      </w:pPr>
      <w:r>
        <w:rPr>
          <w:rFonts w:ascii="Times New Roman" w:hAnsi="Times New Roman" w:eastAsia="Times New Roman"/>
          <w:b w:val="0"/>
          <w:i w:val="0"/>
          <w:color w:val="000000"/>
          <w:sz w:val="24"/>
        </w:rPr>
        <w:t>Tiap output harus bisa diterjemahkan menjadi deliverable, quality gate, dan bahan keputusan pada fase berikutnya.</w:t>
      </w:r>
    </w:p>
    <w:p>
      <w:pPr>
        <w:pStyle w:val="Heading2"/>
      </w:pPr>
      <w:r>
        <w:rPr>
          <w:rFonts w:ascii="Times New Roman" w:hAnsi="Times New Roman" w:eastAsia="Times New Roman"/>
          <w:b/>
          <w:color w:val="000000"/>
          <w:sz w:val="24"/>
        </w:rPr>
        <w:t>6.2 Bentuk Keluaran dan Kesesuaian Solusi</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Kategori Keluaran</w:t>
            </w:r>
          </w:p>
        </w:tc>
        <w:tc>
          <w:tcPr>
            <w:tcW w:type="dxa" w:w="3120"/>
            <w:shd w:fill="E7E6E6"/>
          </w:tcPr>
          <w:p>
            <w:pPr>
              <w:spacing w:before="0" w:after="40" w:lineRule="auto" w:line="240"/>
            </w:pPr>
            <w:r>
              <w:rPr>
                <w:rFonts w:ascii="Times New Roman" w:hAnsi="Times New Roman" w:eastAsia="Times New Roman"/>
                <w:b/>
                <w:i w:val="0"/>
                <w:color w:val="000000"/>
                <w:sz w:val="21"/>
              </w:rPr>
              <w:t>Bentuk Keluaran</w:t>
            </w:r>
          </w:p>
        </w:tc>
        <w:tc>
          <w:tcPr>
            <w:tcW w:type="dxa" w:w="3120"/>
            <w:shd w:fill="E7E6E6"/>
          </w:tcPr>
          <w:p>
            <w:pPr>
              <w:spacing w:before="0" w:after="40" w:lineRule="auto" w:line="240"/>
            </w:pPr>
            <w:r>
              <w:rPr>
                <w:rFonts w:ascii="Times New Roman" w:hAnsi="Times New Roman" w:eastAsia="Times New Roman"/>
                <w:b/>
                <w:i w:val="0"/>
                <w:color w:val="000000"/>
                <w:sz w:val="21"/>
              </w:rPr>
              <w:t>Tujuan Praktis</w:t>
            </w:r>
          </w:p>
        </w:tc>
      </w:tr>
      <w:tr>
        <w:tc>
          <w:tcPr>
            <w:tcW w:type="dxa" w:w="3120"/>
          </w:tcPr>
          <w:p>
            <w:pPr>
              <w:spacing w:before="0" w:after="40" w:lineRule="auto" w:line="240"/>
            </w:pPr>
            <w:r>
              <w:rPr>
                <w:rFonts w:ascii="Times New Roman" w:hAnsi="Times New Roman" w:eastAsia="Times New Roman"/>
                <w:b w:val="0"/>
                <w:i w:val="0"/>
                <w:color w:val="000000"/>
                <w:sz w:val="21"/>
              </w:rPr>
              <w:t>Dokumen</w:t>
            </w:r>
          </w:p>
        </w:tc>
        <w:tc>
          <w:tcPr>
            <w:tcW w:type="dxa" w:w="3120"/>
          </w:tcPr>
          <w:p>
            <w:pPr>
              <w:spacing w:before="0" w:after="40" w:lineRule="auto" w:line="240"/>
            </w:pPr>
            <w:r>
              <w:rPr>
                <w:rFonts w:ascii="Times New Roman" w:hAnsi="Times New Roman" w:eastAsia="Times New Roman"/>
                <w:b w:val="0"/>
                <w:i w:val="0"/>
                <w:color w:val="000000"/>
                <w:sz w:val="21"/>
              </w:rPr>
              <w:t>target operating model, roadmap, dan decision paper</w:t>
            </w:r>
          </w:p>
        </w:tc>
        <w:tc>
          <w:tcPr>
            <w:tcW w:type="dxa" w:w="3120"/>
          </w:tcPr>
          <w:p>
            <w:pPr>
              <w:spacing w:before="0" w:after="40" w:lineRule="auto" w:line="240"/>
            </w:pPr>
            <w:r>
              <w:rPr>
                <w:rFonts w:ascii="Times New Roman" w:hAnsi="Times New Roman" w:eastAsia="Times New Roman"/>
                <w:b w:val="0"/>
                <w:i w:val="0"/>
                <w:color w:val="000000"/>
                <w:sz w:val="21"/>
              </w:rPr>
              <w:t>mengarahkan sponsor pada keputusan strategi yang lebih defensible</w:t>
            </w:r>
          </w:p>
        </w:tc>
      </w:tr>
      <w:tr>
        <w:tc>
          <w:tcPr>
            <w:tcW w:type="dxa" w:w="3120"/>
          </w:tcPr>
          <w:p>
            <w:pPr>
              <w:spacing w:before="0" w:after="40" w:lineRule="auto" w:line="240"/>
            </w:pPr>
            <w:r>
              <w:rPr>
                <w:rFonts w:ascii="Times New Roman" w:hAnsi="Times New Roman" w:eastAsia="Times New Roman"/>
                <w:b w:val="0"/>
                <w:i w:val="0"/>
                <w:color w:val="000000"/>
                <w:sz w:val="21"/>
              </w:rPr>
              <w:t>Pendampingan</w:t>
            </w:r>
          </w:p>
        </w:tc>
        <w:tc>
          <w:tcPr>
            <w:tcW w:type="dxa" w:w="3120"/>
          </w:tcPr>
          <w:p>
            <w:pPr>
              <w:spacing w:before="0" w:after="40" w:lineRule="auto" w:line="240"/>
            </w:pPr>
            <w:r>
              <w:rPr>
                <w:rFonts w:ascii="Times New Roman" w:hAnsi="Times New Roman" w:eastAsia="Times New Roman"/>
                <w:b w:val="0"/>
                <w:i w:val="0"/>
                <w:color w:val="000000"/>
                <w:sz w:val="21"/>
              </w:rPr>
              <w:t>facilitation steering discussion dan penajaman opsi strategi</w:t>
            </w:r>
          </w:p>
        </w:tc>
        <w:tc>
          <w:tcPr>
            <w:tcW w:type="dxa" w:w="3120"/>
          </w:tcPr>
          <w:p>
            <w:pPr>
              <w:spacing w:before="0" w:after="40" w:lineRule="auto" w:line="240"/>
            </w:pPr>
            <w:r>
              <w:rPr>
                <w:rFonts w:ascii="Times New Roman" w:hAnsi="Times New Roman" w:eastAsia="Times New Roman"/>
                <w:b w:val="0"/>
                <w:i w:val="0"/>
                <w:color w:val="000000"/>
                <w:sz w:val="21"/>
              </w:rPr>
              <w:t>membantu sinkronisasi bisnis, teknologi, dan tata kelola</w:t>
            </w:r>
          </w:p>
        </w:tc>
      </w:tr>
      <w:tr>
        <w:tc>
          <w:tcPr>
            <w:tcW w:type="dxa" w:w="3120"/>
          </w:tcPr>
          <w:p>
            <w:pPr>
              <w:spacing w:before="0" w:after="40" w:lineRule="auto" w:line="240"/>
            </w:pPr>
            <w:r>
              <w:rPr>
                <w:rFonts w:ascii="Times New Roman" w:hAnsi="Times New Roman" w:eastAsia="Times New Roman"/>
                <w:b w:val="0"/>
                <w:i w:val="0"/>
                <w:color w:val="000000"/>
                <w:sz w:val="21"/>
              </w:rPr>
              <w:t>Kegiatan</w:t>
            </w:r>
          </w:p>
        </w:tc>
        <w:tc>
          <w:tcPr>
            <w:tcW w:type="dxa" w:w="3120"/>
          </w:tcPr>
          <w:p>
            <w:pPr>
              <w:spacing w:before="0" w:after="40" w:lineRule="auto" w:line="240"/>
            </w:pPr>
            <w:r>
              <w:rPr>
                <w:rFonts w:ascii="Times New Roman" w:hAnsi="Times New Roman" w:eastAsia="Times New Roman"/>
                <w:b w:val="0"/>
                <w:i w:val="0"/>
                <w:color w:val="000000"/>
                <w:sz w:val="21"/>
              </w:rPr>
              <w:t>visioning workshop dan review roadmap</w:t>
            </w:r>
          </w:p>
        </w:tc>
        <w:tc>
          <w:tcPr>
            <w:tcW w:type="dxa" w:w="3120"/>
          </w:tcPr>
          <w:p>
            <w:pPr>
              <w:spacing w:before="0" w:after="40" w:lineRule="auto" w:line="240"/>
            </w:pPr>
            <w:r>
              <w:rPr>
                <w:rFonts w:ascii="Times New Roman" w:hAnsi="Times New Roman" w:eastAsia="Times New Roman"/>
                <w:b w:val="0"/>
                <w:i w:val="0"/>
                <w:color w:val="000000"/>
                <w:sz w:val="21"/>
              </w:rPr>
              <w:t>membentuk urutan prioritas yang realistis</w:t>
            </w:r>
          </w:p>
        </w:tc>
      </w:tr>
    </w:tbl>
    <w:p>
      <w:r>
        <w:rPr>
          <w:rFonts w:ascii="Times New Roman" w:hAnsi="Times New Roman" w:eastAsia="Times New Roman"/>
          <w:b w:val="0"/>
          <w:i w:val="0"/>
          <w:color w:val="000000"/>
          <w:sz w:val="24"/>
        </w:rPr>
        <w:t>Dengan struktur keluaran seperti ini, Bluebird Group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r>
        <w:br w:type="page"/>
      </w:r>
    </w:p>
    <w:p>
      <w:pPr>
        <w:pStyle w:val="Heading1"/>
        <w:spacing w:before="0" w:after="240"/>
        <w:jc w:val="center"/>
      </w:pPr>
      <w:r>
        <w:rPr>
          <w:rFonts w:ascii="Times New Roman" w:hAnsi="Times New Roman" w:eastAsia="Times New Roman"/>
          <w:b/>
          <w:color w:val="000000"/>
          <w:sz w:val="28"/>
        </w:rPr>
        <w:t>BAB VII – RUANG LINGKUP PEKERJAAN</w:t>
      </w:r>
    </w:p>
    <w:p>
      <w:r>
        <w:rPr>
          <w:rFonts w:ascii="Times New Roman" w:hAnsi="Times New Roman" w:eastAsia="Times New Roman"/>
          <w:b w:val="0"/>
          <w:i w:val="0"/>
          <w:color w:val="000000"/>
          <w:sz w:val="24"/>
        </w:rPr>
        <w:t>Ruang lingkup pekerjaan untuk Bluebird Group perlu dijelaskan secara tegas agar proposal ini tidak dibaca sebagai komitmen yang kabur. Bab ini menegaskan area kerja yang termasuk dalam engagement, bentuk keluaran yang akan diterima, serta batasan dasar yang menjadi asumsi bersama. Dengan begitu, sponsor dan tim inti dapat melihat hubungan langsung antara scope kerja, bentuk keluaran, dan outcome seperti MAU/Adopsi kanal digital: target pertumbuhan terukur dalam 8 bulan. (Data Internal, 2026).</w:t>
      </w:r>
    </w:p>
    <w:p>
      <w:pPr>
        <w:pStyle w:val="Heading2"/>
      </w:pPr>
      <w:r>
        <w:rPr>
          <w:rFonts w:ascii="Times New Roman" w:hAnsi="Times New Roman" w:eastAsia="Times New Roman"/>
          <w:b/>
          <w:color w:val="000000"/>
          <w:sz w:val="24"/>
        </w:rPr>
        <w:t>7.1 Lingkup Pekerjaan Utama</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Area Lingkup</w:t>
            </w:r>
          </w:p>
        </w:tc>
        <w:tc>
          <w:tcPr>
            <w:tcW w:type="dxa" w:w="2340"/>
            <w:shd w:fill="E7E6E6"/>
          </w:tcPr>
          <w:p>
            <w:pPr>
              <w:spacing w:before="0" w:after="40" w:lineRule="auto" w:line="240"/>
            </w:pPr>
            <w:r>
              <w:rPr>
                <w:rFonts w:ascii="Times New Roman" w:hAnsi="Times New Roman" w:eastAsia="Times New Roman"/>
                <w:b/>
                <w:i w:val="0"/>
                <w:color w:val="000000"/>
                <w:sz w:val="21"/>
              </w:rPr>
              <w:t>Aktivitas Kunci</w:t>
            </w:r>
          </w:p>
        </w:tc>
        <w:tc>
          <w:tcPr>
            <w:tcW w:type="dxa" w:w="2340"/>
            <w:shd w:fill="E7E6E6"/>
          </w:tcPr>
          <w:p>
            <w:pPr>
              <w:spacing w:before="0" w:after="40" w:lineRule="auto" w:line="240"/>
            </w:pPr>
            <w:r>
              <w:rPr>
                <w:rFonts w:ascii="Times New Roman" w:hAnsi="Times New Roman" w:eastAsia="Times New Roman"/>
                <w:b/>
                <w:i w:val="0"/>
                <w:color w:val="000000"/>
                <w:sz w:val="21"/>
              </w:rPr>
              <w:t>Bentuk Keluaran</w:t>
            </w:r>
          </w:p>
        </w:tc>
        <w:tc>
          <w:tcPr>
            <w:tcW w:type="dxa" w:w="2340"/>
            <w:shd w:fill="E7E6E6"/>
          </w:tcPr>
          <w:p>
            <w:pPr>
              <w:spacing w:before="0" w:after="40" w:lineRule="auto" w:line="240"/>
            </w:pPr>
            <w:r>
              <w:rPr>
                <w:rFonts w:ascii="Times New Roman" w:hAnsi="Times New Roman" w:eastAsia="Times New Roman"/>
                <w:b/>
                <w:i w:val="0"/>
                <w:color w:val="000000"/>
                <w:sz w:val="21"/>
              </w:rPr>
              <w:t>Batasan / Asumsi</w:t>
            </w:r>
          </w:p>
        </w:tc>
      </w:tr>
      <w:tr>
        <w:tc>
          <w:tcPr>
            <w:tcW w:type="dxa" w:w="2340"/>
          </w:tcPr>
          <w:p>
            <w:pPr>
              <w:spacing w:before="0" w:after="40" w:lineRule="auto" w:line="240"/>
            </w:pPr>
            <w:r>
              <w:rPr>
                <w:rFonts w:ascii="Times New Roman" w:hAnsi="Times New Roman" w:eastAsia="Times New Roman"/>
                <w:b w:val="0"/>
                <w:i w:val="0"/>
                <w:color w:val="000000"/>
                <w:sz w:val="21"/>
              </w:rPr>
              <w:t>Analisis dan alignment awal</w:t>
            </w:r>
          </w:p>
        </w:tc>
        <w:tc>
          <w:tcPr>
            <w:tcW w:type="dxa" w:w="2340"/>
          </w:tcPr>
          <w:p>
            <w:pPr>
              <w:spacing w:before="0" w:after="40" w:lineRule="auto" w:line="240"/>
            </w:pPr>
            <w:r>
              <w:rPr>
                <w:rFonts w:ascii="Times New Roman" w:hAnsi="Times New Roman" w:eastAsia="Times New Roman"/>
                <w:b w:val="0"/>
                <w:i w:val="0"/>
                <w:color w:val="000000"/>
                <w:sz w:val="21"/>
              </w:rPr>
              <w:t>memastikan sasaran maas (mobility as a service) dan ruang problem yang direspons sudah selaras</w:t>
            </w:r>
          </w:p>
        </w:tc>
        <w:tc>
          <w:tcPr>
            <w:tcW w:type="dxa" w:w="2340"/>
          </w:tcPr>
          <w:p>
            <w:pPr>
              <w:spacing w:before="0" w:after="40" w:lineRule="auto" w:line="240"/>
            </w:pPr>
            <w:r>
              <w:rPr>
                <w:rFonts w:ascii="Times New Roman" w:hAnsi="Times New Roman" w:eastAsia="Times New Roman"/>
                <w:b w:val="0"/>
                <w:i w:val="0"/>
                <w:color w:val="000000"/>
                <w:sz w:val="21"/>
              </w:rPr>
              <w:t>target operating model, roadmap, dan decision paper</w:t>
            </w:r>
          </w:p>
        </w:tc>
        <w:tc>
          <w:tcPr>
            <w:tcW w:type="dxa" w:w="2340"/>
          </w:tcPr>
          <w:p>
            <w:pPr>
              <w:spacing w:before="0" w:after="40" w:lineRule="auto" w:line="240"/>
            </w:pPr>
            <w:r>
              <w:rPr>
                <w:rFonts w:ascii="Times New Roman" w:hAnsi="Times New Roman" w:eastAsia="Times New Roman"/>
                <w:b w:val="0"/>
                <w:i w:val="0"/>
                <w:color w:val="000000"/>
                <w:sz w:val="21"/>
              </w:rPr>
              <w:t>tidak termasuk pekerjaan di luar baseline kebutuhan yang telah disepakati</w:t>
            </w:r>
          </w:p>
        </w:tc>
      </w:tr>
      <w:tr>
        <w:tc>
          <w:tcPr>
            <w:tcW w:type="dxa" w:w="2340"/>
          </w:tcPr>
          <w:p>
            <w:pPr>
              <w:spacing w:before="0" w:after="40" w:lineRule="auto" w:line="240"/>
            </w:pPr>
            <w:r>
              <w:rPr>
                <w:rFonts w:ascii="Times New Roman" w:hAnsi="Times New Roman" w:eastAsia="Times New Roman"/>
                <w:b w:val="0"/>
                <w:i w:val="0"/>
                <w:color w:val="000000"/>
                <w:sz w:val="21"/>
              </w:rPr>
              <w:t>Perancangan solusi dan prioritas kerja</w:t>
            </w:r>
          </w:p>
        </w:tc>
        <w:tc>
          <w:tcPr>
            <w:tcW w:type="dxa" w:w="2340"/>
          </w:tcPr>
          <w:p>
            <w:pPr>
              <w:spacing w:before="0" w:after="40" w:lineRule="auto" w:line="240"/>
            </w:pPr>
            <w:r>
              <w:rPr>
                <w:rFonts w:ascii="Times New Roman" w:hAnsi="Times New Roman" w:eastAsia="Times New Roman"/>
                <w:b w:val="0"/>
                <w:i w:val="0"/>
                <w:color w:val="000000"/>
                <w:sz w:val="21"/>
              </w:rPr>
              <w:t>menerjemahkan isu seperti digital booking bluebird masih tertinggal, integrasi layanan taxi-rental-shuttle belum menyatu, dan adopsi... ke solusi, prioritas, dan kontrol delivery</w:t>
            </w:r>
          </w:p>
        </w:tc>
        <w:tc>
          <w:tcPr>
            <w:tcW w:type="dxa" w:w="2340"/>
          </w:tcPr>
          <w:p>
            <w:pPr>
              <w:spacing w:before="0" w:after="40" w:lineRule="auto" w:line="240"/>
            </w:pPr>
            <w:r>
              <w:rPr>
                <w:rFonts w:ascii="Times New Roman" w:hAnsi="Times New Roman" w:eastAsia="Times New Roman"/>
                <w:b w:val="0"/>
                <w:i w:val="0"/>
                <w:color w:val="000000"/>
                <w:sz w:val="21"/>
              </w:rPr>
              <w:t>facilitation steering discussion dan penajaman opsi strategi</w:t>
            </w:r>
          </w:p>
        </w:tc>
        <w:tc>
          <w:tcPr>
            <w:tcW w:type="dxa" w:w="2340"/>
          </w:tcPr>
          <w:p>
            <w:pPr>
              <w:spacing w:before="0" w:after="40" w:lineRule="auto" w:line="240"/>
            </w:pPr>
            <w:r>
              <w:rPr>
                <w:rFonts w:ascii="Times New Roman" w:hAnsi="Times New Roman" w:eastAsia="Times New Roman"/>
                <w:b w:val="0"/>
                <w:i w:val="0"/>
                <w:color w:val="000000"/>
                <w:sz w:val="21"/>
              </w:rPr>
              <w:t>bergantung pada ketersediaan data, sponsor, dan counterpart klien</w:t>
            </w:r>
          </w:p>
        </w:tc>
      </w:tr>
      <w:tr>
        <w:tc>
          <w:tcPr>
            <w:tcW w:type="dxa" w:w="2340"/>
          </w:tcPr>
          <w:p>
            <w:pPr>
              <w:spacing w:before="0" w:after="40" w:lineRule="auto" w:line="240"/>
            </w:pPr>
            <w:r>
              <w:rPr>
                <w:rFonts w:ascii="Times New Roman" w:hAnsi="Times New Roman" w:eastAsia="Times New Roman"/>
                <w:b w:val="0"/>
                <w:i w:val="0"/>
                <w:color w:val="000000"/>
                <w:sz w:val="21"/>
              </w:rPr>
              <w:t>Forum kerja dan validasi</w:t>
            </w:r>
          </w:p>
        </w:tc>
        <w:tc>
          <w:tcPr>
            <w:tcW w:type="dxa" w:w="2340"/>
          </w:tcPr>
          <w:p>
            <w:pPr>
              <w:spacing w:before="0" w:after="40" w:lineRule="auto" w:line="240"/>
            </w:pPr>
            <w:r>
              <w:rPr>
                <w:rFonts w:ascii="Times New Roman" w:hAnsi="Times New Roman" w:eastAsia="Times New Roman"/>
                <w:b w:val="0"/>
                <w:i w:val="0"/>
                <w:color w:val="000000"/>
                <w:sz w:val="21"/>
              </w:rPr>
              <w:t>menjalankan workshop, review milestone, dan validasi arah bersama stakeholder utama</w:t>
            </w:r>
          </w:p>
        </w:tc>
        <w:tc>
          <w:tcPr>
            <w:tcW w:type="dxa" w:w="2340"/>
          </w:tcPr>
          <w:p>
            <w:pPr>
              <w:spacing w:before="0" w:after="40" w:lineRule="auto" w:line="240"/>
            </w:pPr>
            <w:r>
              <w:rPr>
                <w:rFonts w:ascii="Times New Roman" w:hAnsi="Times New Roman" w:eastAsia="Times New Roman"/>
                <w:b w:val="0"/>
                <w:i w:val="0"/>
                <w:color w:val="000000"/>
                <w:sz w:val="21"/>
              </w:rPr>
              <w:t>visioning workshop dan review roadmap</w:t>
            </w:r>
          </w:p>
        </w:tc>
        <w:tc>
          <w:tcPr>
            <w:tcW w:type="dxa" w:w="2340"/>
          </w:tcPr>
          <w:p>
            <w:pPr>
              <w:spacing w:before="0" w:after="40" w:lineRule="auto" w:line="240"/>
            </w:pPr>
            <w:r>
              <w:rPr>
                <w:rFonts w:ascii="Times New Roman" w:hAnsi="Times New Roman" w:eastAsia="Times New Roman"/>
                <w:b w:val="0"/>
                <w:i w:val="0"/>
                <w:color w:val="000000"/>
                <w:sz w:val="21"/>
              </w:rPr>
              <w:t>jadwal forum menyesuaikan kalender kerja dan kecepatan keputusan sponsor</w:t>
            </w:r>
          </w:p>
        </w:tc>
      </w:tr>
    </w:tbl>
    <w:p>
      <w:r>
        <w:rPr>
          <w:rFonts w:ascii="Times New Roman" w:hAnsi="Times New Roman" w:eastAsia="Times New Roman"/>
          <w:b w:val="0"/>
          <w:i w:val="0"/>
          <w:color w:val="000000"/>
          <w:sz w:val="24"/>
        </w:rPr>
        <w:t>Ruang lingkup di atas dirancang agar tetap fokus pada kebutuhan opportunity, directive dan tidak melebar ke area yang belum menjadi prioritas keputusan Bluebird Group. Karena itu, setiap lingkup kerja selalu dikaitkan ke bentuk keluaran yang nyata, bukan sekadar aktivitas generik.</w:t>
      </w:r>
    </w:p>
    <w:p>
      <w:pPr>
        <w:pStyle w:val="Heading2"/>
      </w:pPr>
      <w:r>
        <w:rPr>
          <w:rFonts w:ascii="Times New Roman" w:hAnsi="Times New Roman" w:eastAsia="Times New Roman"/>
          <w:b/>
          <w:color w:val="000000"/>
          <w:sz w:val="24"/>
        </w:rPr>
        <w:t>7.2 Batasan Pekerjaan dan Asumsi</w:t>
      </w:r>
    </w:p>
    <w:p>
      <w:pPr>
        <w:pStyle w:val="ListBullet"/>
        <w:spacing w:before="0" w:after="80"/>
        <w:numPr>
          <w:ilvl w:val="0"/>
          <w:numId w:val="24"/>
        </w:numPr>
      </w:pPr>
      <w:r>
        <w:rPr>
          <w:rFonts w:ascii="Times New Roman" w:hAnsi="Times New Roman" w:eastAsia="Times New Roman"/>
          <w:b w:val="0"/>
          <w:i w:val="0"/>
          <w:color w:val="000000"/>
          <w:sz w:val="24"/>
        </w:rPr>
        <w:t>Proposal ini mengasumsikan adanya sponsor, PIC inti, dan akses kerja yang cukup dari pihak Bluebird Group selama engagement berjalan.</w:t>
      </w:r>
    </w:p>
    <w:p>
      <w:pPr>
        <w:pStyle w:val="ListBullet"/>
        <w:spacing w:before="0" w:after="80"/>
        <w:numPr>
          <w:ilvl w:val="0"/>
          <w:numId w:val="24"/>
        </w:numPr>
      </w:pPr>
      <w:r>
        <w:rPr>
          <w:rFonts w:ascii="Times New Roman" w:hAnsi="Times New Roman" w:eastAsia="Times New Roman"/>
          <w:b w:val="0"/>
          <w:i w:val="0"/>
          <w:color w:val="000000"/>
          <w:sz w:val="24"/>
        </w:rPr>
        <w:t>Pekerjaan di luar ruang lingkup utama, termasuk perluasan objek review atau implementasi penuh, hanya dilakukan jika disepakati sebagai perubahan scope.</w:t>
      </w:r>
    </w:p>
    <w:p>
      <w:pPr>
        <w:pStyle w:val="ListBullet"/>
        <w:spacing w:before="0" w:after="80"/>
        <w:numPr>
          <w:ilvl w:val="0"/>
          <w:numId w:val="24"/>
        </w:numPr>
      </w:pPr>
      <w:r>
        <w:rPr>
          <w:rFonts w:ascii="Times New Roman" w:hAnsi="Times New Roman" w:eastAsia="Times New Roman"/>
          <w:b w:val="0"/>
          <w:i w:val="0"/>
          <w:color w:val="000000"/>
          <w:sz w:val="24"/>
        </w:rPr>
        <w:t>Bentuk keluaran utama diarahkan untuk mendukung keputusan, eksekusi, dan quality gate terhadap maas (mobility as a service), bukan menggantikan seluruh fungsi operasional internal klien.</w:t>
      </w:r>
    </w:p>
    <w:p>
      <w:pPr>
        <w:pStyle w:val="ListBullet"/>
        <w:spacing w:before="0" w:after="80"/>
        <w:numPr>
          <w:ilvl w:val="0"/>
          <w:numId w:val="24"/>
        </w:numPr>
      </w:pPr>
      <w:r>
        <w:rPr>
          <w:rFonts w:ascii="Times New Roman" w:hAnsi="Times New Roman" w:eastAsia="Times New Roman"/>
          <w:b w:val="0"/>
          <w:i w:val="0"/>
          <w:color w:val="000000"/>
          <w:sz w:val="24"/>
        </w:rPr>
        <w:t>Dengan batasan ini, ruang lingkup tetap profesional: cukup jelas untuk dijalankan, namun tetap memberi ruang kontrol ketika ada perubahan yang benar-benar material.</w:t>
      </w:r>
    </w:p>
    <w:p>
      <w:r>
        <w:br w:type="page"/>
      </w:r>
    </w:p>
    <w:p>
      <w:pPr>
        <w:pStyle w:val="Heading1"/>
        <w:spacing w:before="0" w:after="240"/>
        <w:jc w:val="center"/>
      </w:pPr>
      <w:r>
        <w:rPr>
          <w:rFonts w:ascii="Times New Roman" w:hAnsi="Times New Roman" w:eastAsia="Times New Roman"/>
          <w:b/>
          <w:color w:val="000000"/>
          <w:sz w:val="28"/>
        </w:rPr>
        <w:t>BAB VIII – TIMELINE PEKERJAAN</w:t>
      </w:r>
    </w:p>
    <w:p>
      <w:pPr>
        <w:spacing w:after="160"/>
        <w:jc w:val="center"/>
      </w:pPr>
      <w:r>
        <w:drawing>
          <wp:inline xmlns:a="http://schemas.openxmlformats.org/drawingml/2006/main" xmlns:pic="http://schemas.openxmlformats.org/drawingml/2006/picture">
            <wp:extent cx="5577840" cy="258453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2584531"/>
                    </a:xfrm>
                    <a:prstGeom prst="rect"/>
                  </pic:spPr>
                </pic:pic>
              </a:graphicData>
            </a:graphic>
          </wp:inline>
        </w:drawing>
      </w:r>
    </w:p>
    <w:p>
      <w:r>
        <w:rPr>
          <w:rFonts w:ascii="Times New Roman" w:hAnsi="Times New Roman" w:eastAsia="Times New Roman"/>
          <w:b w:val="0"/>
          <w:i w:val="0"/>
          <w:color w:val="000000"/>
          <w:sz w:val="24"/>
        </w:rPr>
        <w:t>Untuk Bluebird Group, timeline pekerjaan disusun agar inisiatif MaaS (Mobility as a Service) dapat bergerak stabil selama 8 Bulan. Rencana ini mengikat ritme delivery ke KPI seperti MAU/Adopsi kanal digital: target pertumbuhan terukur dalam 8 bulan., memakai istilah kerja operational excellence, risk control, business value, dan menjaga agar keputusan fase selalu dapat ditelusuri terhadap outcome bisnis.</w:t>
      </w:r>
    </w:p>
    <w:p>
      <w:pPr>
        <w:pStyle w:val="Heading2"/>
      </w:pPr>
      <w:r>
        <w:rPr>
          <w:rFonts w:ascii="Times New Roman" w:hAnsi="Times New Roman" w:eastAsia="Times New Roman"/>
          <w:b/>
          <w:color w:val="000000"/>
          <w:sz w:val="24"/>
        </w:rPr>
        <w:t>8.1 Aktivitas per Fase</w:t>
      </w:r>
    </w:p>
    <w:p>
      <w:pPr>
        <w:pStyle w:val="ListNumber"/>
        <w:spacing w:before="0" w:after="80"/>
        <w:numPr>
          <w:ilvl w:val="0"/>
          <w:numId w:val="25"/>
        </w:numPr>
      </w:pPr>
      <w:r>
        <w:rPr>
          <w:rFonts w:ascii="Times New Roman" w:hAnsi="Times New Roman" w:eastAsia="Times New Roman"/>
          <w:b/>
          <w:i w:val="0"/>
          <w:color w:val="000000"/>
          <w:sz w:val="24"/>
        </w:rPr>
        <w:t>Business Alignment</w:t>
      </w:r>
      <w:r>
        <w:rPr>
          <w:rFonts w:ascii="Times New Roman" w:hAnsi="Times New Roman" w:eastAsia="Times New Roman"/>
          <w:b w:val="0"/>
          <w:i w:val="0"/>
          <w:color w:val="000000"/>
          <w:sz w:val="24"/>
        </w:rPr>
        <w:t xml:space="preserve"> (Bulan 1-2): Sinkronkan sasaran bisnis, sponsor, dan outcome yang diharapkan. Output utama: alignment charter dan target state.</w:t>
      </w:r>
    </w:p>
    <w:p>
      <w:pPr>
        <w:pStyle w:val="ListNumber"/>
        <w:spacing w:before="0" w:after="80"/>
        <w:numPr>
          <w:ilvl w:val="0"/>
          <w:numId w:val="25"/>
        </w:numPr>
      </w:pPr>
      <w:r>
        <w:rPr>
          <w:rFonts w:ascii="Times New Roman" w:hAnsi="Times New Roman" w:eastAsia="Times New Roman"/>
          <w:b/>
          <w:i w:val="0"/>
          <w:color w:val="000000"/>
          <w:sz w:val="24"/>
        </w:rPr>
        <w:t>Target Design</w:t>
      </w:r>
      <w:r>
        <w:rPr>
          <w:rFonts w:ascii="Times New Roman" w:hAnsi="Times New Roman" w:eastAsia="Times New Roman"/>
          <w:b w:val="0"/>
          <w:i w:val="0"/>
          <w:color w:val="000000"/>
          <w:sz w:val="24"/>
        </w:rPr>
        <w:t xml:space="preserve"> (Bulan 3-5): Rancang operating model, prinsip arsitektur, dan opsi strategi. Output utama: target operating model.</w:t>
      </w:r>
    </w:p>
    <w:p>
      <w:pPr>
        <w:pStyle w:val="ListNumber"/>
        <w:spacing w:before="0" w:after="80"/>
        <w:numPr>
          <w:ilvl w:val="0"/>
          <w:numId w:val="25"/>
        </w:numPr>
      </w:pPr>
      <w:r>
        <w:rPr>
          <w:rFonts w:ascii="Times New Roman" w:hAnsi="Times New Roman" w:eastAsia="Times New Roman"/>
          <w:b/>
          <w:i w:val="0"/>
          <w:color w:val="000000"/>
          <w:sz w:val="24"/>
        </w:rPr>
        <w:t>Roadmap Prioritization</w:t>
      </w:r>
      <w:r>
        <w:rPr>
          <w:rFonts w:ascii="Times New Roman" w:hAnsi="Times New Roman" w:eastAsia="Times New Roman"/>
          <w:b w:val="0"/>
          <w:i w:val="0"/>
          <w:color w:val="000000"/>
          <w:sz w:val="24"/>
        </w:rPr>
        <w:t xml:space="preserve"> (Bulan 6-7): Urutkan inisiatif berdasarkan manfaat, risiko, dan kesiapan. Output utama: roadmap prioritas dan sequencing.</w:t>
      </w:r>
    </w:p>
    <w:p>
      <w:pPr>
        <w:pStyle w:val="ListNumber"/>
        <w:spacing w:before="0" w:after="80"/>
        <w:numPr>
          <w:ilvl w:val="0"/>
          <w:numId w:val="25"/>
        </w:numPr>
      </w:pPr>
      <w:r>
        <w:rPr>
          <w:rFonts w:ascii="Times New Roman" w:hAnsi="Times New Roman" w:eastAsia="Times New Roman"/>
          <w:b/>
          <w:i w:val="0"/>
          <w:color w:val="000000"/>
          <w:sz w:val="24"/>
        </w:rPr>
        <w:t>Executive Closure</w:t>
      </w:r>
      <w:r>
        <w:rPr>
          <w:rFonts w:ascii="Times New Roman" w:hAnsi="Times New Roman" w:eastAsia="Times New Roman"/>
          <w:b w:val="0"/>
          <w:i w:val="0"/>
          <w:color w:val="000000"/>
          <w:sz w:val="24"/>
        </w:rPr>
        <w:t xml:space="preserve"> (Bulan 8): Finalisasi keputusan eksekutif dan arahan mobilisasi. Output utama: board-ready recommendation.</w:t>
      </w:r>
    </w:p>
    <w:p>
      <w:pPr>
        <w:pStyle w:val="Heading2"/>
      </w:pPr>
      <w:r>
        <w:rPr>
          <w:rFonts w:ascii="Times New Roman" w:hAnsi="Times New Roman" w:eastAsia="Times New Roman"/>
          <w:b/>
          <w:color w:val="000000"/>
          <w:sz w:val="24"/>
        </w:rPr>
        <w:t>8.2 Waktu Pelaksanaan dan Deliverable Tiap Fase</w:t>
      </w:r>
    </w:p>
    <w:p>
      <w:r>
        <w:rPr>
          <w:rFonts w:ascii="Times New Roman" w:hAnsi="Times New Roman" w:eastAsia="Times New Roman"/>
          <w:b w:val="0"/>
          <w:i w:val="0"/>
          <w:color w:val="000000"/>
          <w:sz w:val="24"/>
        </w:rPr>
        <w:t>Pengaturan waktu tidak hanya membagi durasi, tetapi memastikan setiap deliverable langsung mendukung kebutuhan opportunity, directive dan memberi bahan keputusan yang rapi pada forum pengarah proyek Bluebird Group. Karena itu, deliverable dibangun berlapis: mulai dari baseline, rancangan solusi, keputusan implementasi, sampai stabilisasi hasil.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Fase</w:t>
            </w:r>
          </w:p>
        </w:tc>
        <w:tc>
          <w:tcPr>
            <w:tcW w:type="dxa" w:w="2340"/>
            <w:shd w:fill="E7E6E6"/>
          </w:tcPr>
          <w:p>
            <w:pPr>
              <w:spacing w:before="0" w:after="40" w:lineRule="auto" w:line="240"/>
            </w:pPr>
            <w:r>
              <w:rPr>
                <w:rFonts w:ascii="Times New Roman" w:hAnsi="Times New Roman" w:eastAsia="Times New Roman"/>
                <w:b/>
                <w:i w:val="0"/>
                <w:color w:val="000000"/>
                <w:sz w:val="21"/>
              </w:rPr>
              <w:t>Periode</w:t>
            </w:r>
          </w:p>
        </w:tc>
        <w:tc>
          <w:tcPr>
            <w:tcW w:type="dxa" w:w="2340"/>
            <w:shd w:fill="E7E6E6"/>
          </w:tcPr>
          <w:p>
            <w:pPr>
              <w:spacing w:before="0" w:after="40" w:lineRule="auto" w:line="240"/>
            </w:pPr>
            <w:r>
              <w:rPr>
                <w:rFonts w:ascii="Times New Roman" w:hAnsi="Times New Roman" w:eastAsia="Times New Roman"/>
                <w:b/>
                <w:i w:val="0"/>
                <w:color w:val="000000"/>
                <w:sz w:val="21"/>
              </w:rPr>
              <w:t>Deliverable Utama</w:t>
            </w:r>
          </w:p>
        </w:tc>
        <w:tc>
          <w:tcPr>
            <w:tcW w:type="dxa" w:w="2340"/>
            <w:shd w:fill="E7E6E6"/>
          </w:tcPr>
          <w:p>
            <w:pPr>
              <w:spacing w:before="0" w:after="40" w:lineRule="auto" w:line="240"/>
            </w:pPr>
            <w:r>
              <w:rPr>
                <w:rFonts w:ascii="Times New Roman" w:hAnsi="Times New Roman" w:eastAsia="Times New Roman"/>
                <w:b/>
                <w:i w:val="0"/>
                <w:color w:val="000000"/>
                <w:sz w:val="21"/>
              </w:rPr>
              <w:t>Kontribusi Bisnis</w:t>
            </w:r>
          </w:p>
        </w:tc>
      </w:tr>
      <w:tr>
        <w:tc>
          <w:tcPr>
            <w:tcW w:type="dxa" w:w="2340"/>
          </w:tcPr>
          <w:p>
            <w:pPr>
              <w:spacing w:before="0" w:after="40" w:lineRule="auto" w:line="240"/>
            </w:pPr>
            <w:r>
              <w:rPr>
                <w:rFonts w:ascii="Times New Roman" w:hAnsi="Times New Roman" w:eastAsia="Times New Roman"/>
                <w:b w:val="0"/>
                <w:i w:val="0"/>
                <w:color w:val="000000"/>
                <w:sz w:val="21"/>
              </w:rPr>
              <w:t>Business Alignment</w:t>
            </w:r>
          </w:p>
        </w:tc>
        <w:tc>
          <w:tcPr>
            <w:tcW w:type="dxa" w:w="2340"/>
          </w:tcPr>
          <w:p>
            <w:pPr>
              <w:spacing w:before="0" w:after="40" w:lineRule="auto" w:line="240"/>
            </w:pPr>
            <w:r>
              <w:rPr>
                <w:rFonts w:ascii="Times New Roman" w:hAnsi="Times New Roman" w:eastAsia="Times New Roman"/>
                <w:b w:val="0"/>
                <w:i w:val="0"/>
                <w:color w:val="000000"/>
                <w:sz w:val="21"/>
              </w:rPr>
              <w:t>Bulan 1-2</w:t>
            </w:r>
          </w:p>
        </w:tc>
        <w:tc>
          <w:tcPr>
            <w:tcW w:type="dxa" w:w="2340"/>
          </w:tcPr>
          <w:p>
            <w:pPr>
              <w:spacing w:before="0" w:after="40" w:lineRule="auto" w:line="240"/>
            </w:pPr>
            <w:r>
              <w:rPr>
                <w:rFonts w:ascii="Times New Roman" w:hAnsi="Times New Roman" w:eastAsia="Times New Roman"/>
                <w:b w:val="0"/>
                <w:i w:val="0"/>
                <w:color w:val="000000"/>
                <w:sz w:val="21"/>
              </w:rPr>
              <w:t>alignment charter dan target state</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Target Design</w:t>
            </w:r>
          </w:p>
        </w:tc>
        <w:tc>
          <w:tcPr>
            <w:tcW w:type="dxa" w:w="2340"/>
          </w:tcPr>
          <w:p>
            <w:pPr>
              <w:spacing w:before="0" w:after="40" w:lineRule="auto" w:line="240"/>
            </w:pPr>
            <w:r>
              <w:rPr>
                <w:rFonts w:ascii="Times New Roman" w:hAnsi="Times New Roman" w:eastAsia="Times New Roman"/>
                <w:b w:val="0"/>
                <w:i w:val="0"/>
                <w:color w:val="000000"/>
                <w:sz w:val="21"/>
              </w:rPr>
              <w:t>Bulan 3-5</w:t>
            </w:r>
          </w:p>
        </w:tc>
        <w:tc>
          <w:tcPr>
            <w:tcW w:type="dxa" w:w="2340"/>
          </w:tcPr>
          <w:p>
            <w:pPr>
              <w:spacing w:before="0" w:after="40" w:lineRule="auto" w:line="240"/>
            </w:pPr>
            <w:r>
              <w:rPr>
                <w:rFonts w:ascii="Times New Roman" w:hAnsi="Times New Roman" w:eastAsia="Times New Roman"/>
                <w:b w:val="0"/>
                <w:i w:val="0"/>
                <w:color w:val="000000"/>
                <w:sz w:val="21"/>
              </w:rPr>
              <w:t>target operating model</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Roadmap Prioritization</w:t>
            </w:r>
          </w:p>
        </w:tc>
        <w:tc>
          <w:tcPr>
            <w:tcW w:type="dxa" w:w="2340"/>
          </w:tcPr>
          <w:p>
            <w:pPr>
              <w:spacing w:before="0" w:after="40" w:lineRule="auto" w:line="240"/>
            </w:pPr>
            <w:r>
              <w:rPr>
                <w:rFonts w:ascii="Times New Roman" w:hAnsi="Times New Roman" w:eastAsia="Times New Roman"/>
                <w:b w:val="0"/>
                <w:i w:val="0"/>
                <w:color w:val="000000"/>
                <w:sz w:val="21"/>
              </w:rPr>
              <w:t>Bulan 6-7</w:t>
            </w:r>
          </w:p>
        </w:tc>
        <w:tc>
          <w:tcPr>
            <w:tcW w:type="dxa" w:w="2340"/>
          </w:tcPr>
          <w:p>
            <w:pPr>
              <w:spacing w:before="0" w:after="40" w:lineRule="auto" w:line="240"/>
            </w:pPr>
            <w:r>
              <w:rPr>
                <w:rFonts w:ascii="Times New Roman" w:hAnsi="Times New Roman" w:eastAsia="Times New Roman"/>
                <w:b w:val="0"/>
                <w:i w:val="0"/>
                <w:color w:val="000000"/>
                <w:sz w:val="21"/>
              </w:rPr>
              <w:t>roadmap prioritas dan sequencing</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Executive Closure</w:t>
            </w:r>
          </w:p>
        </w:tc>
        <w:tc>
          <w:tcPr>
            <w:tcW w:type="dxa" w:w="2340"/>
          </w:tcPr>
          <w:p>
            <w:pPr>
              <w:spacing w:before="0" w:after="40" w:lineRule="auto" w:line="240"/>
            </w:pPr>
            <w:r>
              <w:rPr>
                <w:rFonts w:ascii="Times New Roman" w:hAnsi="Times New Roman" w:eastAsia="Times New Roman"/>
                <w:b w:val="0"/>
                <w:i w:val="0"/>
                <w:color w:val="000000"/>
                <w:sz w:val="21"/>
              </w:rPr>
              <w:t>Bulan 8</w:t>
            </w:r>
          </w:p>
        </w:tc>
        <w:tc>
          <w:tcPr>
            <w:tcW w:type="dxa" w:w="2340"/>
          </w:tcPr>
          <w:p>
            <w:pPr>
              <w:spacing w:before="0" w:after="40" w:lineRule="auto" w:line="240"/>
            </w:pPr>
            <w:r>
              <w:rPr>
                <w:rFonts w:ascii="Times New Roman" w:hAnsi="Times New Roman" w:eastAsia="Times New Roman"/>
                <w:b w:val="0"/>
                <w:i w:val="0"/>
                <w:color w:val="000000"/>
                <w:sz w:val="21"/>
              </w:rPr>
              <w:t>board-ready recommendation</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bl>
    <w:p>
      <w:r>
        <w:rPr>
          <w:rFonts w:ascii="Times New Roman" w:hAnsi="Times New Roman" w:eastAsia="Times New Roman"/>
          <w:b w:val="0"/>
          <w:i w:val="0"/>
          <w:color w:val="000000"/>
          <w:sz w:val="24"/>
        </w:rPr>
        <w:t>Penjadwalan tidak hanya membagi durasi 8 Bulan ke dalam fase, tetapi juga memastikan dependensi, keputusan sponsor, dan kesiapan stakeholder bergerak dalam ritme yang sama. Untuk Bluebird Group, pengaturan ini penting agar progres tidak sekadar terlihat aktif, melainkan benar-benar menjaga jalur pencapaian KPI seperti MAU/Adopsi kanal digital: target pertumbuhan terukur dalam 8 bulan..</w:t>
      </w:r>
    </w:p>
    <w:p>
      <w:r>
        <w:br w:type="page"/>
      </w:r>
    </w:p>
    <w:p>
      <w:pPr>
        <w:pStyle w:val="Heading1"/>
        <w:spacing w:before="0" w:after="240"/>
        <w:jc w:val="center"/>
      </w:pPr>
      <w:r>
        <w:rPr>
          <w:rFonts w:ascii="Times New Roman" w:hAnsi="Times New Roman" w:eastAsia="Times New Roman"/>
          <w:b/>
          <w:color w:val="000000"/>
          <w:sz w:val="28"/>
        </w:rPr>
        <w:t>BAB IX – TATA KELOLA PROYEK</w:t>
      </w:r>
    </w:p>
    <w:p>
      <w:r>
        <w:rPr>
          <w:rFonts w:ascii="Times New Roman" w:hAnsi="Times New Roman" w:eastAsia="Times New Roman"/>
          <w:b w:val="0"/>
          <w:i w:val="0"/>
          <w:color w:val="000000"/>
          <w:sz w:val="24"/>
        </w:rPr>
        <w:t>Tata kelola proyek untuk Bluebird Group dirancang agar keputusan strategis, kontrol eksekusi, dan penanganan risiko berjalan dalam satu sistem kerja yang konsisten. Fokusnya adalah menjaga maas (mobility as a service) tetap selaras dengan KPI seperti MAU/Adopsi kanal digital: target pertumbuhan terukur dalam 8 bulan., sambil memakai istilah operasional operational excellence, risk control, business value agar koordinasi lintas pihak tidak kehilangan konteks.</w:t>
      </w:r>
    </w:p>
    <w:p>
      <w:pPr>
        <w:pStyle w:val="Heading2"/>
      </w:pPr>
      <w:r>
        <w:rPr>
          <w:rFonts w:ascii="Times New Roman" w:hAnsi="Times New Roman" w:eastAsia="Times New Roman"/>
          <w:b/>
          <w:color w:val="000000"/>
          <w:sz w:val="24"/>
        </w:rPr>
        <w:t>9.1 Mekanisme Pengambilan Keputusan</w:t>
      </w:r>
    </w:p>
    <w:p>
      <w:pPr>
        <w:pStyle w:val="ListNumber"/>
        <w:spacing w:before="0" w:after="80"/>
        <w:numPr>
          <w:ilvl w:val="0"/>
          <w:numId w:val="26"/>
        </w:numPr>
      </w:pPr>
      <w:r>
        <w:rPr>
          <w:rFonts w:ascii="Times New Roman" w:hAnsi="Times New Roman" w:eastAsia="Times New Roman"/>
          <w:b/>
          <w:i w:val="0"/>
          <w:color w:val="000000"/>
          <w:sz w:val="24"/>
        </w:rPr>
        <w:t>Steering Committee</w:t>
      </w:r>
      <w:r>
        <w:rPr>
          <w:rFonts w:ascii="Times New Roman" w:hAnsi="Times New Roman" w:eastAsia="Times New Roman"/>
          <w:b w:val="0"/>
          <w:i w:val="0"/>
          <w:color w:val="000000"/>
          <w:sz w:val="24"/>
        </w:rPr>
        <w:t xml:space="preserve"> menetapkan arah, prioritas, dan keputusan yang berdampak pada scope, biaya, atau timeline program Bluebird Group.</w:t>
      </w:r>
    </w:p>
    <w:p>
      <w:pPr>
        <w:pStyle w:val="ListNumber"/>
        <w:spacing w:before="0" w:after="80"/>
        <w:numPr>
          <w:ilvl w:val="0"/>
          <w:numId w:val="26"/>
        </w:numPr>
      </w:pPr>
      <w:r>
        <w:rPr>
          <w:rFonts w:ascii="Times New Roman" w:hAnsi="Times New Roman" w:eastAsia="Times New Roman"/>
          <w:b/>
          <w:i w:val="0"/>
          <w:color w:val="000000"/>
          <w:sz w:val="24"/>
        </w:rPr>
        <w:t>Project Board</w:t>
      </w:r>
      <w:r>
        <w:rPr>
          <w:rFonts w:ascii="Times New Roman" w:hAnsi="Times New Roman" w:eastAsia="Times New Roman"/>
          <w:b w:val="0"/>
          <w:i w:val="0"/>
          <w:color w:val="000000"/>
          <w:sz w:val="24"/>
        </w:rPr>
        <w:t xml:space="preserve"> memutuskan isu lintas workstream, approval deliverable utama, dan tindakan korektif terhadap deviasi progres.</w:t>
      </w:r>
    </w:p>
    <w:p>
      <w:pPr>
        <w:pStyle w:val="ListNumber"/>
        <w:spacing w:before="0" w:after="80"/>
        <w:numPr>
          <w:ilvl w:val="0"/>
          <w:numId w:val="26"/>
        </w:numPr>
      </w:pPr>
      <w:r>
        <w:rPr>
          <w:rFonts w:ascii="Times New Roman" w:hAnsi="Times New Roman" w:eastAsia="Times New Roman"/>
          <w:b/>
          <w:i w:val="0"/>
          <w:color w:val="000000"/>
          <w:sz w:val="24"/>
        </w:rPr>
        <w:t>Working Session</w:t>
      </w:r>
      <w:r>
        <w:rPr>
          <w:rFonts w:ascii="Times New Roman" w:hAnsi="Times New Roman" w:eastAsia="Times New Roman"/>
          <w:b w:val="0"/>
          <w:i w:val="0"/>
          <w:color w:val="000000"/>
          <w:sz w:val="24"/>
        </w:rPr>
        <w:t xml:space="preserve"> mingguan dipakai untuk memvalidasi kebutuhan, dependency, dan kesiapan data atau user representative.</w:t>
      </w:r>
    </w:p>
    <w:p>
      <w:pPr>
        <w:pStyle w:val="ListNumber"/>
        <w:spacing w:before="0" w:after="80"/>
        <w:numPr>
          <w:ilvl w:val="0"/>
          <w:numId w:val="26"/>
        </w:numPr>
      </w:pPr>
      <w:r>
        <w:rPr>
          <w:rFonts w:ascii="Times New Roman" w:hAnsi="Times New Roman" w:eastAsia="Times New Roman"/>
          <w:b/>
          <w:i w:val="0"/>
          <w:color w:val="000000"/>
          <w:sz w:val="24"/>
        </w:rPr>
        <w:t>Escalation path</w:t>
      </w:r>
      <w:r>
        <w:rPr>
          <w:rFonts w:ascii="Times New Roman" w:hAnsi="Times New Roman" w:eastAsia="Times New Roman"/>
          <w:b w:val="0"/>
          <w:i w:val="0"/>
          <w:color w:val="000000"/>
          <w:sz w:val="24"/>
        </w:rPr>
        <w:t xml:space="preserve"> dibuat berjenjang agar isu operasional tidak langsung membebani forum eksekutif, tetapi tetap bisa naik cepat bila berdampak material.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Forum Tata Kelola</w:t>
            </w:r>
          </w:p>
        </w:tc>
        <w:tc>
          <w:tcPr>
            <w:tcW w:type="dxa" w:w="2340"/>
            <w:shd w:fill="E7E6E6"/>
          </w:tcPr>
          <w:p>
            <w:pPr>
              <w:spacing w:before="0" w:after="40" w:lineRule="auto" w:line="240"/>
            </w:pPr>
            <w:r>
              <w:rPr>
                <w:rFonts w:ascii="Times New Roman" w:hAnsi="Times New Roman" w:eastAsia="Times New Roman"/>
                <w:b/>
                <w:i w:val="0"/>
                <w:color w:val="000000"/>
                <w:sz w:val="21"/>
              </w:rPr>
              <w:t>Frekuensi</w:t>
            </w:r>
          </w:p>
        </w:tc>
        <w:tc>
          <w:tcPr>
            <w:tcW w:type="dxa" w:w="2340"/>
            <w:shd w:fill="E7E6E6"/>
          </w:tcPr>
          <w:p>
            <w:pPr>
              <w:spacing w:before="0" w:after="40" w:lineRule="auto" w:line="240"/>
            </w:pPr>
            <w:r>
              <w:rPr>
                <w:rFonts w:ascii="Times New Roman" w:hAnsi="Times New Roman" w:eastAsia="Times New Roman"/>
                <w:b/>
                <w:i w:val="0"/>
                <w:color w:val="000000"/>
                <w:sz w:val="21"/>
              </w:rPr>
              <w:t>Fokus Keputusan</w:t>
            </w:r>
          </w:p>
        </w:tc>
        <w:tc>
          <w:tcPr>
            <w:tcW w:type="dxa" w:w="2340"/>
            <w:shd w:fill="E7E6E6"/>
          </w:tcPr>
          <w:p>
            <w:pPr>
              <w:spacing w:before="0" w:after="40" w:lineRule="auto" w:line="240"/>
            </w:pPr>
            <w:r>
              <w:rPr>
                <w:rFonts w:ascii="Times New Roman" w:hAnsi="Times New Roman" w:eastAsia="Times New Roman"/>
                <w:b/>
                <w:i w:val="0"/>
                <w:color w:val="000000"/>
                <w:sz w:val="21"/>
              </w:rPr>
              <w:t>Output Kontrol</w:t>
            </w:r>
          </w:p>
        </w:tc>
      </w:tr>
      <w:tr>
        <w:tc>
          <w:tcPr>
            <w:tcW w:type="dxa" w:w="2340"/>
          </w:tcPr>
          <w:p>
            <w:pPr>
              <w:spacing w:before="0" w:after="40" w:lineRule="auto" w:line="240"/>
            </w:pPr>
            <w:r>
              <w:rPr>
                <w:rFonts w:ascii="Times New Roman" w:hAnsi="Times New Roman" w:eastAsia="Times New Roman"/>
                <w:b w:val="0"/>
                <w:i w:val="0"/>
                <w:color w:val="000000"/>
                <w:sz w:val="21"/>
              </w:rPr>
              <w:t>Steering Committee</w:t>
            </w:r>
          </w:p>
        </w:tc>
        <w:tc>
          <w:tcPr>
            <w:tcW w:type="dxa" w:w="2340"/>
          </w:tcPr>
          <w:p>
            <w:pPr>
              <w:spacing w:before="0" w:after="40" w:lineRule="auto" w:line="240"/>
            </w:pPr>
            <w:r>
              <w:rPr>
                <w:rFonts w:ascii="Times New Roman" w:hAnsi="Times New Roman" w:eastAsia="Times New Roman"/>
                <w:b w:val="0"/>
                <w:i w:val="0"/>
                <w:color w:val="000000"/>
                <w:sz w:val="21"/>
              </w:rPr>
              <w:t>Bulanan / saat keputusan material</w:t>
            </w:r>
          </w:p>
        </w:tc>
        <w:tc>
          <w:tcPr>
            <w:tcW w:type="dxa" w:w="2340"/>
          </w:tcPr>
          <w:p>
            <w:pPr>
              <w:spacing w:before="0" w:after="40" w:lineRule="auto" w:line="240"/>
            </w:pPr>
            <w:r>
              <w:rPr>
                <w:rFonts w:ascii="Times New Roman" w:hAnsi="Times New Roman" w:eastAsia="Times New Roman"/>
                <w:b w:val="0"/>
                <w:i w:val="0"/>
                <w:color w:val="000000"/>
                <w:sz w:val="21"/>
              </w:rPr>
              <w:t>Arah strategis, prioritas, dan keputusan lintas sponsor</w:t>
            </w:r>
          </w:p>
        </w:tc>
        <w:tc>
          <w:tcPr>
            <w:tcW w:type="dxa" w:w="2340"/>
          </w:tcPr>
          <w:p>
            <w:pPr>
              <w:spacing w:before="0" w:after="40" w:lineRule="auto" w:line="240"/>
            </w:pPr>
            <w:r>
              <w:rPr>
                <w:rFonts w:ascii="Times New Roman" w:hAnsi="Times New Roman" w:eastAsia="Times New Roman"/>
                <w:b w:val="0"/>
                <w:i w:val="0"/>
                <w:color w:val="000000"/>
                <w:sz w:val="21"/>
              </w:rPr>
              <w:t>keputusan strategis dan approval perubahan utama</w:t>
            </w:r>
          </w:p>
        </w:tc>
      </w:tr>
      <w:tr>
        <w:tc>
          <w:tcPr>
            <w:tcW w:type="dxa" w:w="2340"/>
          </w:tcPr>
          <w:p>
            <w:pPr>
              <w:spacing w:before="0" w:after="40" w:lineRule="auto" w:line="240"/>
            </w:pPr>
            <w:r>
              <w:rPr>
                <w:rFonts w:ascii="Times New Roman" w:hAnsi="Times New Roman" w:eastAsia="Times New Roman"/>
                <w:b w:val="0"/>
                <w:i w:val="0"/>
                <w:color w:val="000000"/>
                <w:sz w:val="21"/>
              </w:rPr>
              <w:t>Project Board</w:t>
            </w:r>
          </w:p>
        </w:tc>
        <w:tc>
          <w:tcPr>
            <w:tcW w:type="dxa" w:w="2340"/>
          </w:tcPr>
          <w:p>
            <w:pPr>
              <w:spacing w:before="0" w:after="40" w:lineRule="auto" w:line="240"/>
            </w:pPr>
            <w:r>
              <w:rPr>
                <w:rFonts w:ascii="Times New Roman" w:hAnsi="Times New Roman" w:eastAsia="Times New Roman"/>
                <w:b w:val="0"/>
                <w:i w:val="0"/>
                <w:color w:val="000000"/>
                <w:sz w:val="21"/>
              </w:rPr>
              <w:t>Dua mingguan</w:t>
            </w:r>
          </w:p>
        </w:tc>
        <w:tc>
          <w:tcPr>
            <w:tcW w:type="dxa" w:w="2340"/>
          </w:tcPr>
          <w:p>
            <w:pPr>
              <w:spacing w:before="0" w:after="40" w:lineRule="auto" w:line="240"/>
            </w:pPr>
            <w:r>
              <w:rPr>
                <w:rFonts w:ascii="Times New Roman" w:hAnsi="Times New Roman" w:eastAsia="Times New Roman"/>
                <w:b w:val="0"/>
                <w:i w:val="0"/>
                <w:color w:val="000000"/>
                <w:sz w:val="21"/>
              </w:rPr>
              <w:t>Review milestone, isu lintas workstream, dan acceptance deliverable</w:t>
            </w:r>
          </w:p>
        </w:tc>
        <w:tc>
          <w:tcPr>
            <w:tcW w:type="dxa" w:w="2340"/>
          </w:tcPr>
          <w:p>
            <w:pPr>
              <w:spacing w:before="0" w:after="40" w:lineRule="auto" w:line="240"/>
            </w:pPr>
            <w:r>
              <w:rPr>
                <w:rFonts w:ascii="Times New Roman" w:hAnsi="Times New Roman" w:eastAsia="Times New Roman"/>
                <w:b w:val="0"/>
                <w:i w:val="0"/>
                <w:color w:val="000000"/>
                <w:sz w:val="21"/>
              </w:rPr>
              <w:t>action log, keputusan korektif, dan status mitigasi</w:t>
            </w:r>
          </w:p>
        </w:tc>
      </w:tr>
      <w:tr>
        <w:tc>
          <w:tcPr>
            <w:tcW w:type="dxa" w:w="2340"/>
          </w:tcPr>
          <w:p>
            <w:pPr>
              <w:spacing w:before="0" w:after="40" w:lineRule="auto" w:line="240"/>
            </w:pPr>
            <w:r>
              <w:rPr>
                <w:rFonts w:ascii="Times New Roman" w:hAnsi="Times New Roman" w:eastAsia="Times New Roman"/>
                <w:b w:val="0"/>
                <w:i w:val="0"/>
                <w:color w:val="000000"/>
                <w:sz w:val="21"/>
              </w:rPr>
              <w:t>Working Session</w:t>
            </w:r>
          </w:p>
        </w:tc>
        <w:tc>
          <w:tcPr>
            <w:tcW w:type="dxa" w:w="2340"/>
          </w:tcPr>
          <w:p>
            <w:pPr>
              <w:spacing w:before="0" w:after="40" w:lineRule="auto" w:line="240"/>
            </w:pPr>
            <w:r>
              <w:rPr>
                <w:rFonts w:ascii="Times New Roman" w:hAnsi="Times New Roman" w:eastAsia="Times New Roman"/>
                <w:b w:val="0"/>
                <w:i w:val="0"/>
                <w:color w:val="000000"/>
                <w:sz w:val="21"/>
              </w:rPr>
              <w:t>Mingguan</w:t>
            </w:r>
          </w:p>
        </w:tc>
        <w:tc>
          <w:tcPr>
            <w:tcW w:type="dxa" w:w="2340"/>
          </w:tcPr>
          <w:p>
            <w:pPr>
              <w:spacing w:before="0" w:after="40" w:lineRule="auto" w:line="240"/>
            </w:pPr>
            <w:r>
              <w:rPr>
                <w:rFonts w:ascii="Times New Roman" w:hAnsi="Times New Roman" w:eastAsia="Times New Roman"/>
                <w:b w:val="0"/>
                <w:i w:val="0"/>
                <w:color w:val="000000"/>
                <w:sz w:val="21"/>
              </w:rPr>
              <w:t>Sinkronisasi kebutuhan, dependensi, kesiapan data, dan tindak lanjut harian</w:t>
            </w:r>
          </w:p>
        </w:tc>
        <w:tc>
          <w:tcPr>
            <w:tcW w:type="dxa" w:w="2340"/>
          </w:tcPr>
          <w:p>
            <w:pPr>
              <w:spacing w:before="0" w:after="40" w:lineRule="auto" w:line="240"/>
            </w:pPr>
            <w:r>
              <w:rPr>
                <w:rFonts w:ascii="Times New Roman" w:hAnsi="Times New Roman" w:eastAsia="Times New Roman"/>
                <w:b w:val="0"/>
                <w:i w:val="0"/>
                <w:color w:val="000000"/>
                <w:sz w:val="21"/>
              </w:rPr>
              <w:t>notulen kerja, risk update, dan daftar tindakan</w:t>
            </w:r>
          </w:p>
        </w:tc>
      </w:tr>
      <w:tr>
        <w:tc>
          <w:tcPr>
            <w:tcW w:type="dxa" w:w="2340"/>
          </w:tcPr>
          <w:p>
            <w:pPr>
              <w:spacing w:before="0" w:after="40" w:lineRule="auto" w:line="240"/>
            </w:pPr>
            <w:r>
              <w:rPr>
                <w:rFonts w:ascii="Times New Roman" w:hAnsi="Times New Roman" w:eastAsia="Times New Roman"/>
                <w:b w:val="0"/>
                <w:i w:val="0"/>
                <w:color w:val="000000"/>
                <w:sz w:val="21"/>
              </w:rPr>
              <w:t>Quality Gate Review</w:t>
            </w:r>
          </w:p>
        </w:tc>
        <w:tc>
          <w:tcPr>
            <w:tcW w:type="dxa" w:w="2340"/>
          </w:tcPr>
          <w:p>
            <w:pPr>
              <w:spacing w:before="0" w:after="40" w:lineRule="auto" w:line="240"/>
            </w:pPr>
            <w:r>
              <w:rPr>
                <w:rFonts w:ascii="Times New Roman" w:hAnsi="Times New Roman" w:eastAsia="Times New Roman"/>
                <w:b w:val="0"/>
                <w:i w:val="0"/>
                <w:color w:val="000000"/>
                <w:sz w:val="21"/>
              </w:rPr>
              <w:t>Akhir tiap fase</w:t>
            </w:r>
          </w:p>
        </w:tc>
        <w:tc>
          <w:tcPr>
            <w:tcW w:type="dxa" w:w="2340"/>
          </w:tcPr>
          <w:p>
            <w:pPr>
              <w:spacing w:before="0" w:after="40" w:lineRule="auto" w:line="240"/>
            </w:pPr>
            <w:r>
              <w:rPr>
                <w:rFonts w:ascii="Times New Roman" w:hAnsi="Times New Roman" w:eastAsia="Times New Roman"/>
                <w:b w:val="0"/>
                <w:i w:val="0"/>
                <w:color w:val="000000"/>
                <w:sz w:val="21"/>
              </w:rPr>
              <w:t>Validasi mutu hasil kerja sebelum fase berikutnya</w:t>
            </w:r>
          </w:p>
        </w:tc>
        <w:tc>
          <w:tcPr>
            <w:tcW w:type="dxa" w:w="2340"/>
          </w:tcPr>
          <w:p>
            <w:pPr>
              <w:spacing w:before="0" w:after="40" w:lineRule="auto" w:line="240"/>
            </w:pPr>
            <w:r>
              <w:rPr>
                <w:rFonts w:ascii="Times New Roman" w:hAnsi="Times New Roman" w:eastAsia="Times New Roman"/>
                <w:b w:val="0"/>
                <w:i w:val="0"/>
                <w:color w:val="000000"/>
                <w:sz w:val="21"/>
              </w:rPr>
              <w:t>sign-off fase, daftar perbaikan, dan readiness status</w:t>
            </w:r>
          </w:p>
        </w:tc>
      </w:tr>
    </w:tbl>
    <w:p>
      <w:pPr>
        <w:pStyle w:val="Heading2"/>
      </w:pPr>
      <w:r>
        <w:rPr>
          <w:rFonts w:ascii="Times New Roman" w:hAnsi="Times New Roman" w:eastAsia="Times New Roman"/>
          <w:b/>
          <w:color w:val="000000"/>
          <w:sz w:val="24"/>
        </w:rPr>
        <w:t>9.2 Mekanisme Pengendalian Proyek</w:t>
      </w:r>
    </w:p>
    <w:p>
      <w:r>
        <w:rPr>
          <w:rFonts w:ascii="Times New Roman" w:hAnsi="Times New Roman" w:eastAsia="Times New Roman"/>
          <w:b w:val="0"/>
          <w:i w:val="0"/>
          <w:color w:val="000000"/>
          <w:sz w:val="24"/>
        </w:rPr>
        <w:t>Pengendalian proyek dilakukan lewat kombinasi dashboard progres, risk register, issue log, quality gate, dan acceptance deliverable. Model kontrol ini memastikan aktivitas delivery tetap terkunci pada hasil bisnis, bukan sekadar penyelesaian aktivitas administratif. Untuk Bluebird Group, pengendalian semacam ini penting karena program maas (mobility as a service) berpotensi melibatkan banyak dependency dan keputusan cepat. Oleh sebab itu, indikator kontrol tidak cukup hanya melihat status task, tetapi juga harus membaca dampaknya pada target bisnis, pengalaman nasabah, dan risiko operasional.</w:t>
      </w:r>
    </w:p>
    <w:p>
      <w:r>
        <w:br w:type="page"/>
      </w:r>
    </w:p>
    <w:p>
      <w:pPr>
        <w:pStyle w:val="Heading1"/>
        <w:spacing w:before="0" w:after="240"/>
        <w:jc w:val="center"/>
      </w:pPr>
      <w:r>
        <w:rPr>
          <w:rFonts w:ascii="Times New Roman" w:hAnsi="Times New Roman" w:eastAsia="Times New Roman"/>
          <w:b/>
          <w:color w:val="000000"/>
          <w:sz w:val="28"/>
        </w:rPr>
        <w:t>BAB X – PROFIL PERUSAHAAN</w:t>
      </w:r>
    </w:p>
    <w:p>
      <w:r>
        <w:rPr>
          <w:rFonts w:ascii="Times New Roman" w:hAnsi="Times New Roman" w:eastAsia="Times New Roman"/>
          <w:b w:val="0"/>
          <w:i w:val="0"/>
          <w:color w:val="000000"/>
          <w:sz w:val="24"/>
        </w:rPr>
        <w:t>Profil perusahaan pada proposal ini tidak dimaksudkan sebagai brosur umum, melainkan sebagai bukti bahwa Inixindo Jogja memiliki modal kerja yang relevan untuk membantu Bluebird Group. Yang ditekankan bukan hanya deskripsi perusahaan, tetapi keterkaitan antara kapabilitas, pengalaman serupa, dan bentuk dukungan yang dibutuhkan oleh inisiatif maas (mobility as a service) (Data Internal, 2026).</w:t>
      </w:r>
    </w:p>
    <w:p>
      <w:pPr>
        <w:pStyle w:val="Heading2"/>
      </w:pPr>
      <w:r>
        <w:rPr>
          <w:rFonts w:ascii="Times New Roman" w:hAnsi="Times New Roman" w:eastAsia="Times New Roman"/>
          <w:b/>
          <w:color w:val="000000"/>
          <w:sz w:val="24"/>
        </w:rPr>
        <w:t>10.1 Relevansi Profil dan Kapabilitas Perusahaan</w:t>
      </w:r>
    </w:p>
    <w:p>
      <w:r>
        <w:rPr>
          <w:rFonts w:ascii="Times New Roman" w:hAnsi="Times New Roman" w:eastAsia="Times New Roman"/>
          <w:b w:val="0"/>
          <w:i w:val="0"/>
          <w:color w:val="000000"/>
          <w:sz w:val="24"/>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operational excellence, risk control, business value.</w:t>
      </w:r>
    </w:p>
    <w:p>
      <w:pPr>
        <w:pStyle w:val="Heading2"/>
      </w:pPr>
      <w:r>
        <w:rPr>
          <w:rFonts w:ascii="Times New Roman" w:hAnsi="Times New Roman" w:eastAsia="Times New Roman"/>
          <w:b/>
          <w:color w:val="000000"/>
          <w:sz w:val="24"/>
        </w:rPr>
        <w:t>10.2 Pengalaman Serupa dan Nilai Tambah</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Area Pengalaman</w:t>
            </w:r>
          </w:p>
        </w:tc>
        <w:tc>
          <w:tcPr>
            <w:tcW w:type="dxa" w:w="2340"/>
            <w:shd w:fill="E7E6E6"/>
          </w:tcPr>
          <w:p>
            <w:pPr>
              <w:spacing w:before="0" w:after="40" w:lineRule="auto" w:line="240"/>
            </w:pPr>
            <w:r>
              <w:rPr>
                <w:rFonts w:ascii="Times New Roman" w:hAnsi="Times New Roman" w:eastAsia="Times New Roman"/>
                <w:b/>
                <w:i w:val="0"/>
                <w:color w:val="000000"/>
                <w:sz w:val="21"/>
              </w:rPr>
              <w:t>Relevansi terhadap Inisiatif</w:t>
            </w:r>
          </w:p>
        </w:tc>
        <w:tc>
          <w:tcPr>
            <w:tcW w:type="dxa" w:w="2340"/>
            <w:shd w:fill="E7E6E6"/>
          </w:tcPr>
          <w:p>
            <w:pPr>
              <w:spacing w:before="0" w:after="40" w:lineRule="auto" w:line="240"/>
            </w:pPr>
            <w:r>
              <w:rPr>
                <w:rFonts w:ascii="Times New Roman" w:hAnsi="Times New Roman" w:eastAsia="Times New Roman"/>
                <w:b/>
                <w:i w:val="0"/>
                <w:color w:val="000000"/>
                <w:sz w:val="21"/>
              </w:rPr>
              <w:t>Bukti Kapabilitas</w:t>
            </w:r>
          </w:p>
        </w:tc>
        <w:tc>
          <w:tcPr>
            <w:tcW w:type="dxa" w:w="2340"/>
            <w:shd w:fill="E7E6E6"/>
          </w:tcPr>
          <w:p>
            <w:pPr>
              <w:spacing w:before="0" w:after="40" w:lineRule="auto" w:line="240"/>
            </w:pPr>
            <w:r>
              <w:rPr>
                <w:rFonts w:ascii="Times New Roman" w:hAnsi="Times New Roman" w:eastAsia="Times New Roman"/>
                <w:b/>
                <w:i w:val="0"/>
                <w:color w:val="000000"/>
                <w:sz w:val="21"/>
              </w:rPr>
              <w:t>Nilai Tambah untuk Klien</w:t>
            </w:r>
          </w:p>
        </w:tc>
      </w:tr>
      <w:tr>
        <w:tc>
          <w:tcPr>
            <w:tcW w:type="dxa" w:w="2340"/>
          </w:tcPr>
          <w:p>
            <w:pPr>
              <w:spacing w:before="0" w:after="40" w:lineRule="auto" w:line="240"/>
            </w:pPr>
            <w:r>
              <w:rPr>
                <w:rFonts w:ascii="Times New Roman" w:hAnsi="Times New Roman" w:eastAsia="Times New Roman"/>
                <w:b w:val="0"/>
                <w:i w:val="0"/>
                <w:color w:val="000000"/>
                <w:sz w:val="21"/>
              </w:rPr>
              <w:t>Perumusan strategi, tata kelola, dan prioritas kerja</w:t>
            </w:r>
          </w:p>
        </w:tc>
        <w:tc>
          <w:tcPr>
            <w:tcW w:type="dxa" w:w="2340"/>
          </w:tcPr>
          <w:p>
            <w:pPr>
              <w:spacing w:before="0" w:after="40" w:lineRule="auto" w:line="240"/>
            </w:pPr>
            <w:r>
              <w:rPr>
                <w:rFonts w:ascii="Times New Roman" w:hAnsi="Times New Roman" w:eastAsia="Times New Roman"/>
                <w:b w:val="0"/>
                <w:i w:val="0"/>
                <w:color w:val="000000"/>
                <w:sz w:val="21"/>
              </w:rPr>
              <w:t>relevan untuk proyek strategic dengan layanan konsultan</w:t>
            </w:r>
          </w:p>
        </w:tc>
        <w:tc>
          <w:tcPr>
            <w:tcW w:type="dxa" w:w="2340"/>
          </w:tcPr>
          <w:p>
            <w:pPr>
              <w:spacing w:before="0" w:after="40" w:lineRule="auto" w:line="240"/>
            </w:pPr>
            <w:r>
              <w:rPr>
                <w:rFonts w:ascii="Times New Roman" w:hAnsi="Times New Roman" w:eastAsia="Times New Roman"/>
                <w:b w:val="0"/>
                <w:i w:val="0"/>
                <w:color w:val="000000"/>
                <w:sz w:val="21"/>
              </w:rPr>
              <w:t>Dipercaya oleh ribuan perusahaan, menyediakan layanan pelatihan, sertifikasi, dan IT consulting, serta bekerja sama dengan vendor global seperti Microsoft, AWS...</w:t>
            </w:r>
          </w:p>
        </w:tc>
        <w:tc>
          <w:tcPr>
            <w:tcW w:type="dxa" w:w="2340"/>
          </w:tcPr>
          <w:p>
            <w:pPr>
              <w:spacing w:before="0" w:after="40" w:lineRule="auto" w:line="240"/>
            </w:pPr>
            <w:r>
              <w:rPr>
                <w:rFonts w:ascii="Times New Roman" w:hAnsi="Times New Roman" w:eastAsia="Times New Roman"/>
                <w:b w:val="0"/>
                <w:i w:val="0"/>
                <w:color w:val="000000"/>
                <w:sz w:val="21"/>
              </w:rPr>
              <w:t>membantu klien mendapat arah kerja yang lebih tajam dan dapat diputuskan lebih cepat</w:t>
            </w:r>
          </w:p>
        </w:tc>
      </w:tr>
      <w:tr>
        <w:tc>
          <w:tcPr>
            <w:tcW w:type="dxa" w:w="2340"/>
          </w:tcPr>
          <w:p>
            <w:pPr>
              <w:spacing w:before="0" w:after="40" w:lineRule="auto" w:line="240"/>
            </w:pPr>
            <w:r>
              <w:rPr>
                <w:rFonts w:ascii="Times New Roman" w:hAnsi="Times New Roman" w:eastAsia="Times New Roman"/>
                <w:b w:val="0"/>
                <w:i w:val="0"/>
                <w:color w:val="000000"/>
                <w:sz w:val="21"/>
              </w:rPr>
              <w:t>Pengawalan delivery dan quality gate</w:t>
            </w:r>
          </w:p>
        </w:tc>
        <w:tc>
          <w:tcPr>
            <w:tcW w:type="dxa" w:w="2340"/>
          </w:tcPr>
          <w:p>
            <w:pPr>
              <w:spacing w:before="0" w:after="40" w:lineRule="auto" w:line="240"/>
            </w:pPr>
            <w:r>
              <w:rPr>
                <w:rFonts w:ascii="Times New Roman" w:hAnsi="Times New Roman" w:eastAsia="Times New Roman"/>
                <w:b w:val="0"/>
                <w:i w:val="0"/>
                <w:color w:val="000000"/>
                <w:sz w:val="21"/>
              </w:rPr>
              <w:t>relevan ketika program memerlukan pengendalian milestone, deliverable, dan mekanisme review yang disiplin</w:t>
            </w:r>
          </w:p>
        </w:tc>
        <w:tc>
          <w:tcPr>
            <w:tcW w:type="dxa" w:w="2340"/>
          </w:tcPr>
          <w:p>
            <w:pPr>
              <w:spacing w:before="0" w:after="40" w:lineRule="auto" w:line="240"/>
            </w:pPr>
            <w:r>
              <w:rPr>
                <w:rFonts w:ascii="Times New Roman" w:hAnsi="Times New Roman" w:eastAsia="Times New Roman"/>
                <w:b w:val="0"/>
                <w:i w:val="0"/>
                <w:color w:val="000000"/>
                <w:sz w:val="21"/>
              </w:rPr>
              <w:t>Dipercaya oleh ribuan perusahaan, menyediakan layanan pelatihan, sertifikasi, dan IT consulting, serta bekerja sama dengan vendor global seperti Microsoft, AWS, dan EC-Council, Visioning, Target Operating Model, Roadmap, Board Presentation, 1x Project Director, 1x Enterprise Architect</w:t>
            </w:r>
          </w:p>
        </w:tc>
        <w:tc>
          <w:tcPr>
            <w:tcW w:type="dxa" w:w="2340"/>
          </w:tcPr>
          <w:p>
            <w:pPr>
              <w:spacing w:before="0" w:after="40" w:lineRule="auto" w:line="240"/>
            </w:pPr>
            <w:r>
              <w:rPr>
                <w:rFonts w:ascii="Times New Roman" w:hAnsi="Times New Roman" w:eastAsia="Times New Roman"/>
                <w:b w:val="0"/>
                <w:i w:val="0"/>
                <w:color w:val="000000"/>
                <w:sz w:val="21"/>
              </w:rPr>
              <w:t>membantu sponsor menjaga kualitas hasil dan mengurangi deviasi di lapangan</w:t>
            </w:r>
          </w:p>
        </w:tc>
      </w:tr>
      <w:tr>
        <w:tc>
          <w:tcPr>
            <w:tcW w:type="dxa" w:w="2340"/>
          </w:tcPr>
          <w:p>
            <w:pPr>
              <w:spacing w:before="0" w:after="40" w:lineRule="auto" w:line="240"/>
            </w:pPr>
            <w:r>
              <w:rPr>
                <w:rFonts w:ascii="Times New Roman" w:hAnsi="Times New Roman" w:eastAsia="Times New Roman"/>
                <w:b w:val="0"/>
                <w:i w:val="0"/>
                <w:color w:val="000000"/>
                <w:sz w:val="21"/>
              </w:rPr>
              <w:t>Pendampingan stakeholder dan penyiapan hasil kerja</w:t>
            </w:r>
          </w:p>
        </w:tc>
        <w:tc>
          <w:tcPr>
            <w:tcW w:type="dxa" w:w="2340"/>
          </w:tcPr>
          <w:p>
            <w:pPr>
              <w:spacing w:before="0" w:after="40" w:lineRule="auto" w:line="240"/>
            </w:pPr>
            <w:r>
              <w:rPr>
                <w:rFonts w:ascii="Times New Roman" w:hAnsi="Times New Roman" w:eastAsia="Times New Roman"/>
                <w:b w:val="0"/>
                <w:i w:val="0"/>
                <w:color w:val="000000"/>
                <w:sz w:val="21"/>
              </w:rPr>
              <w:t>relevan untuk inisiatif yang menuntut sinkronisasi bisnis, operasi, dan tata kelola</w:t>
            </w:r>
          </w:p>
        </w:tc>
        <w:tc>
          <w:tcPr>
            <w:tcW w:type="dxa" w:w="2340"/>
          </w:tcPr>
          <w:p>
            <w:pPr>
              <w:spacing w:before="0" w:after="40" w:lineRule="auto" w:line="240"/>
            </w:pPr>
            <w:r>
              <w:rPr>
                <w:rFonts w:ascii="Times New Roman" w:hAnsi="Times New Roman" w:eastAsia="Times New Roman"/>
                <w:b w:val="0"/>
                <w:i w:val="0"/>
                <w:color w:val="000000"/>
                <w:sz w:val="21"/>
              </w:rPr>
              <w:t>pengalaman menyusun bahan keputusan, workshop kerja, dan dokumen tindak lanjut</w:t>
            </w:r>
          </w:p>
        </w:tc>
        <w:tc>
          <w:tcPr>
            <w:tcW w:type="dxa" w:w="2340"/>
          </w:tcPr>
          <w:p>
            <w:pPr>
              <w:spacing w:before="0" w:after="40" w:lineRule="auto" w:line="240"/>
            </w:pPr>
            <w:r>
              <w:rPr>
                <w:rFonts w:ascii="Times New Roman" w:hAnsi="Times New Roman" w:eastAsia="Times New Roman"/>
                <w:b w:val="0"/>
                <w:i w:val="0"/>
                <w:color w:val="000000"/>
                <w:sz w:val="21"/>
              </w:rPr>
              <w:t>membantu hasil proposal lebih mudah ditindaklanjuti oleh tim klien</w:t>
            </w:r>
          </w:p>
        </w:tc>
      </w:tr>
    </w:tbl>
    <w:p>
      <w:r>
        <w:rPr>
          <w:rFonts w:ascii="Times New Roman" w:hAnsi="Times New Roman" w:eastAsia="Times New Roman"/>
          <w:b w:val="0"/>
          <w:i w:val="0"/>
          <w:color w:val="000000"/>
          <w:sz w:val="24"/>
        </w:rPr>
        <w:t>Dengan penyajian seperti ini, Bluebird Group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Bullet"/>
        <w:spacing w:before="0" w:after="80"/>
        <w:numPr>
          <w:ilvl w:val="0"/>
          <w:numId w:val="27"/>
        </w:numPr>
      </w:pPr>
      <w:r>
        <w:rPr>
          <w:rFonts w:ascii="Times New Roman" w:hAnsi="Times New Roman" w:eastAsia="Times New Roman"/>
          <w:b w:val="0"/>
          <w:i w:val="0"/>
          <w:color w:val="000000"/>
          <w:sz w:val="24"/>
        </w:rPr>
        <w:t>KPI acuan yang tetap dijaga pada bab ini adalah MAU/Adopsi kanal digital: target pertumbuhan terukur dalam 8 bulan..</w:t>
      </w:r>
    </w:p>
    <w:p>
      <w:r>
        <w:br w:type="page"/>
      </w:r>
    </w:p>
    <w:p>
      <w:pPr>
        <w:pStyle w:val="Heading1"/>
        <w:spacing w:before="0" w:after="240"/>
        <w:jc w:val="center"/>
      </w:pPr>
      <w:r>
        <w:rPr>
          <w:rFonts w:ascii="Times New Roman" w:hAnsi="Times New Roman" w:eastAsia="Times New Roman"/>
          <w:b/>
          <w:color w:val="000000"/>
          <w:sz w:val="28"/>
        </w:rPr>
        <w:t>BAB XI – STRUKTUR &amp; TENAGA AHLI PROYEK</w:t>
      </w:r>
    </w:p>
    <w:p>
      <w:pPr>
        <w:spacing w:after="160"/>
        <w:jc w:val="center"/>
      </w:pPr>
      <w:r>
        <w:drawing>
          <wp:inline xmlns:a="http://schemas.openxmlformats.org/drawingml/2006/main" xmlns:pic="http://schemas.openxmlformats.org/drawingml/2006/picture">
            <wp:extent cx="5577840" cy="233605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336057"/>
                    </a:xfrm>
                    <a:prstGeom prst="rect"/>
                  </pic:spPr>
                </pic:pic>
              </a:graphicData>
            </a:graphic>
          </wp:inline>
        </w:drawing>
      </w:r>
    </w:p>
    <w:p>
      <w:r>
        <w:rPr>
          <w:rFonts w:ascii="Times New Roman" w:hAnsi="Times New Roman" w:eastAsia="Times New Roman"/>
          <w:b w:val="0"/>
          <w:i w:val="0"/>
          <w:color w:val="000000"/>
          <w:sz w:val="24"/>
        </w:rPr>
        <w:t>Struktur tim proyek untuk Bluebird Group dibentuk agar pengambilan keputusan, pengawasan mutu, dan eksekusi lapangan bergerak seirama. Komposisi tim tidak diperlakukan sebagai daftar jabatan semata, tetapi sebagai mekanisme untuk menjaga kualitas output terhadap target MAU/Adopsi kanal digital: target pertumbuhan terukur dalam 8 bulan. dan kebutuhan opportunity, directive (Data Internal, 2026).</w:t>
      </w:r>
    </w:p>
    <w:p>
      <w:pPr>
        <w:pStyle w:val="Heading2"/>
      </w:pPr>
      <w:r>
        <w:rPr>
          <w:rFonts w:ascii="Times New Roman" w:hAnsi="Times New Roman" w:eastAsia="Times New Roman"/>
          <w:b/>
          <w:color w:val="000000"/>
          <w:sz w:val="24"/>
        </w:rPr>
        <w:t>11.1 Struktur Tim Proyek</w:t>
      </w:r>
    </w:p>
    <w:p>
      <w:pPr>
        <w:pStyle w:val="ListNumber"/>
        <w:spacing w:before="0" w:after="80"/>
        <w:numPr>
          <w:ilvl w:val="0"/>
          <w:numId w:val="28"/>
        </w:numPr>
      </w:pPr>
      <w:r>
        <w:rPr>
          <w:rFonts w:ascii="Times New Roman" w:hAnsi="Times New Roman" w:eastAsia="Times New Roman"/>
          <w:b/>
          <w:i w:val="0"/>
          <w:color w:val="000000"/>
          <w:sz w:val="24"/>
        </w:rPr>
        <w:t>Engagement Lead / Project Director</w:t>
      </w:r>
      <w:r>
        <w:rPr>
          <w:rFonts w:ascii="Times New Roman" w:hAnsi="Times New Roman" w:eastAsia="Times New Roman"/>
          <w:b w:val="0"/>
          <w:i w:val="0"/>
          <w:color w:val="000000"/>
          <w:sz w:val="24"/>
        </w:rPr>
        <w:t xml:space="preserve"> menjaga arah kemitraan dan keputusan strategis sponsor.</w:t>
      </w:r>
    </w:p>
    <w:p>
      <w:pPr>
        <w:pStyle w:val="ListNumber"/>
        <w:spacing w:before="0" w:after="80"/>
        <w:numPr>
          <w:ilvl w:val="0"/>
          <w:numId w:val="28"/>
        </w:numPr>
      </w:pPr>
      <w:r>
        <w:rPr>
          <w:rFonts w:ascii="Times New Roman" w:hAnsi="Times New Roman" w:eastAsia="Times New Roman"/>
          <w:b/>
          <w:i w:val="0"/>
          <w:color w:val="000000"/>
          <w:sz w:val="24"/>
        </w:rPr>
        <w:t>Project Manager / PMO Lead</w:t>
      </w:r>
      <w:r>
        <w:rPr>
          <w:rFonts w:ascii="Times New Roman" w:hAnsi="Times New Roman" w:eastAsia="Times New Roman"/>
          <w:b w:val="0"/>
          <w:i w:val="0"/>
          <w:color w:val="000000"/>
          <w:sz w:val="24"/>
        </w:rPr>
        <w:t xml:space="preserve"> mengendalikan ritme kerja, milestone, dan quality gate.</w:t>
      </w:r>
    </w:p>
    <w:p>
      <w:pPr>
        <w:pStyle w:val="ListNumber"/>
        <w:spacing w:before="0" w:after="80"/>
        <w:numPr>
          <w:ilvl w:val="0"/>
          <w:numId w:val="28"/>
        </w:numPr>
      </w:pPr>
      <w:r>
        <w:rPr>
          <w:rFonts w:ascii="Times New Roman" w:hAnsi="Times New Roman" w:eastAsia="Times New Roman"/>
          <w:b/>
          <w:i w:val="0"/>
          <w:color w:val="000000"/>
          <w:sz w:val="24"/>
        </w:rPr>
        <w:t>Lead Fungsional / Solusi</w:t>
      </w:r>
      <w:r>
        <w:rPr>
          <w:rFonts w:ascii="Times New Roman" w:hAnsi="Times New Roman" w:eastAsia="Times New Roman"/>
          <w:b w:val="0"/>
          <w:i w:val="0"/>
          <w:color w:val="000000"/>
          <w:sz w:val="24"/>
        </w:rPr>
        <w:t xml:space="preserve"> menjaga kualitas desain solusi dan relevansi output kerja.</w:t>
      </w:r>
    </w:p>
    <w:p>
      <w:pPr>
        <w:pStyle w:val="ListNumber"/>
        <w:spacing w:before="0" w:after="80"/>
        <w:numPr>
          <w:ilvl w:val="0"/>
          <w:numId w:val="28"/>
        </w:numPr>
      </w:pPr>
      <w:r>
        <w:rPr>
          <w:rFonts w:ascii="Times New Roman" w:hAnsi="Times New Roman" w:eastAsia="Times New Roman"/>
          <w:b/>
          <w:i w:val="0"/>
          <w:color w:val="000000"/>
          <w:sz w:val="24"/>
        </w:rPr>
        <w:t>Reviewer Governance / Quality</w:t>
      </w:r>
      <w:r>
        <w:rPr>
          <w:rFonts w:ascii="Times New Roman" w:hAnsi="Times New Roman" w:eastAsia="Times New Roman"/>
          <w:b w:val="0"/>
          <w:i w:val="0"/>
          <w:color w:val="000000"/>
          <w:sz w:val="24"/>
        </w:rPr>
        <w:t xml:space="preserve"> memastikan disiplin review, sign-off, dan kontrol risiko.</w:t>
      </w:r>
    </w:p>
    <w:p>
      <w:pPr>
        <w:pStyle w:val="ListBullet"/>
        <w:spacing w:before="0" w:after="80"/>
        <w:numPr>
          <w:ilvl w:val="0"/>
          <w:numId w:val="29"/>
        </w:numPr>
      </w:pPr>
      <w:r>
        <w:rPr>
          <w:rFonts w:ascii="Times New Roman" w:hAnsi="Times New Roman" w:eastAsia="Times New Roman"/>
          <w:b w:val="0"/>
          <w:i w:val="0"/>
          <w:color w:val="000000"/>
          <w:sz w:val="24"/>
        </w:rPr>
        <w:t>Komposisi inti yang direncanakan mengacu pada baseline internal: 1x Project Director, 1x Enterprise Architect.</w:t>
      </w:r>
    </w:p>
    <w:p>
      <w:pPr>
        <w:pStyle w:val="ListBullet"/>
        <w:spacing w:before="0" w:after="80"/>
        <w:numPr>
          <w:ilvl w:val="0"/>
          <w:numId w:val="29"/>
        </w:numPr>
      </w:pPr>
      <w:r>
        <w:rPr>
          <w:rFonts w:ascii="Times New Roman" w:hAnsi="Times New Roman" w:eastAsia="Times New Roman"/>
          <w:b w:val="0"/>
          <w:i w:val="0"/>
          <w:color w:val="000000"/>
          <w:sz w:val="24"/>
        </w:rPr>
        <w:t>Referensi kapabilitas dan sertifikasi internal yang mendukung tim: Instruktur bersertifikasi internasional, kurikulum terbarukan, dan kolaborasi dengan vendor global di area cloud, cyber security, jaringan, data center, dan enterprise systems.</w:t>
      </w:r>
    </w:p>
    <w:p>
      <w:pPr>
        <w:pStyle w:val="ListBullet"/>
        <w:spacing w:before="0" w:after="80"/>
        <w:numPr>
          <w:ilvl w:val="0"/>
          <w:numId w:val="29"/>
        </w:numPr>
      </w:pPr>
      <w:r>
        <w:rPr>
          <w:rFonts w:ascii="Times New Roman" w:hAnsi="Times New Roman" w:eastAsia="Times New Roman"/>
          <w:b w:val="0"/>
          <w:i w:val="0"/>
          <w:color w:val="000000"/>
          <w:sz w:val="24"/>
        </w:rPr>
        <w:t>Counterpart dari pihak Bluebird Group idealnya mencakup sponsor bisnis, PIC operasional, PIC teknologi/data, dan reviewer governance.</w:t>
      </w:r>
    </w:p>
    <w:p>
      <w:pPr>
        <w:pStyle w:val="ListBullet"/>
        <w:spacing w:before="0" w:after="80"/>
        <w:numPr>
          <w:ilvl w:val="0"/>
          <w:numId w:val="29"/>
        </w:numPr>
      </w:pPr>
      <w:r>
        <w:rPr>
          <w:rFonts w:ascii="Times New Roman" w:hAnsi="Times New Roman" w:eastAsia="Times New Roman"/>
          <w:b w:val="0"/>
          <w:i w:val="0"/>
          <w:color w:val="000000"/>
          <w:sz w:val="24"/>
        </w:rPr>
        <w:t>Alokasi resource dapat dinaikkan atau disesuaikan mengikuti fase kerja, tingkat risiko, dan kebutuhan keputusan cepat.</w:t>
      </w:r>
    </w:p>
    <w:p>
      <w:pPr>
        <w:pStyle w:val="Heading2"/>
      </w:pPr>
      <w:r>
        <w:rPr>
          <w:rFonts w:ascii="Times New Roman" w:hAnsi="Times New Roman" w:eastAsia="Times New Roman"/>
          <w:b/>
          <w:color w:val="000000"/>
          <w:sz w:val="24"/>
        </w:rPr>
        <w:t>11.2 Tabel Tenaga Ahli dan Kualifikasi</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Peran Tenaga Ahli</w:t>
            </w:r>
          </w:p>
        </w:tc>
        <w:tc>
          <w:tcPr>
            <w:tcW w:type="dxa" w:w="2340"/>
            <w:shd w:fill="E7E6E6"/>
          </w:tcPr>
          <w:p>
            <w:pPr>
              <w:spacing w:before="0" w:after="40" w:lineRule="auto" w:line="240"/>
            </w:pPr>
            <w:r>
              <w:rPr>
                <w:rFonts w:ascii="Times New Roman" w:hAnsi="Times New Roman" w:eastAsia="Times New Roman"/>
                <w:b/>
                <w:i w:val="0"/>
                <w:color w:val="000000"/>
                <w:sz w:val="21"/>
              </w:rPr>
              <w:t>Fokus Tanggung Jawab</w:t>
            </w:r>
          </w:p>
        </w:tc>
        <w:tc>
          <w:tcPr>
            <w:tcW w:type="dxa" w:w="2340"/>
            <w:shd w:fill="E7E6E6"/>
          </w:tcPr>
          <w:p>
            <w:pPr>
              <w:spacing w:before="0" w:after="40" w:lineRule="auto" w:line="240"/>
            </w:pPr>
            <w:r>
              <w:rPr>
                <w:rFonts w:ascii="Times New Roman" w:hAnsi="Times New Roman" w:eastAsia="Times New Roman"/>
                <w:b/>
                <w:i w:val="0"/>
                <w:color w:val="000000"/>
                <w:sz w:val="21"/>
              </w:rPr>
              <w:t>Kompetensi / Pengalaman Kunci</w:t>
            </w:r>
          </w:p>
        </w:tc>
        <w:tc>
          <w:tcPr>
            <w:tcW w:type="dxa" w:w="2340"/>
            <w:shd w:fill="E7E6E6"/>
          </w:tcPr>
          <w:p>
            <w:pPr>
              <w:spacing w:before="0" w:after="40" w:lineRule="auto" w:line="240"/>
            </w:pPr>
            <w:r>
              <w:rPr>
                <w:rFonts w:ascii="Times New Roman" w:hAnsi="Times New Roman" w:eastAsia="Times New Roman"/>
                <w:b/>
                <w:i w:val="0"/>
                <w:color w:val="000000"/>
                <w:sz w:val="21"/>
              </w:rPr>
              <w:t>Keterlibatan</w:t>
            </w:r>
          </w:p>
        </w:tc>
      </w:tr>
      <w:tr>
        <w:tc>
          <w:tcPr>
            <w:tcW w:type="dxa" w:w="2340"/>
          </w:tcPr>
          <w:p>
            <w:pPr>
              <w:spacing w:before="0" w:after="40" w:lineRule="auto" w:line="240"/>
            </w:pPr>
            <w:r>
              <w:rPr>
                <w:rFonts w:ascii="Times New Roman" w:hAnsi="Times New Roman" w:eastAsia="Times New Roman"/>
                <w:b w:val="0"/>
                <w:i w:val="0"/>
                <w:color w:val="000000"/>
                <w:sz w:val="21"/>
              </w:rPr>
              <w:t>Engagement Lead / Project Director</w:t>
            </w:r>
          </w:p>
        </w:tc>
        <w:tc>
          <w:tcPr>
            <w:tcW w:type="dxa" w:w="2340"/>
          </w:tcPr>
          <w:p>
            <w:pPr>
              <w:spacing w:before="0" w:after="40" w:lineRule="auto" w:line="240"/>
            </w:pPr>
            <w:r>
              <w:rPr>
                <w:rFonts w:ascii="Times New Roman" w:hAnsi="Times New Roman" w:eastAsia="Times New Roman"/>
                <w:b w:val="0"/>
                <w:i w:val="0"/>
                <w:color w:val="000000"/>
                <w:sz w:val="21"/>
              </w:rPr>
              <w:t>menjaga arah kemitraan, kualitas proposal, dan keputusan strategis sponsor</w:t>
            </w:r>
          </w:p>
        </w:tc>
        <w:tc>
          <w:tcPr>
            <w:tcW w:type="dxa" w:w="2340"/>
          </w:tcPr>
          <w:p>
            <w:pPr>
              <w:spacing w:before="0" w:after="40" w:lineRule="auto" w:line="240"/>
            </w:pPr>
            <w:r>
              <w:rPr>
                <w:rFonts w:ascii="Times New Roman" w:hAnsi="Times New Roman" w:eastAsia="Times New Roman"/>
                <w:b w:val="0"/>
                <w:i w:val="0"/>
                <w:color w:val="000000"/>
                <w:sz w:val="21"/>
              </w:rPr>
              <w:t>kepemimpinan delivery, komunikasi eksekutif, dan pengendalian isu kritis</w:t>
            </w:r>
          </w:p>
        </w:tc>
        <w:tc>
          <w:tcPr>
            <w:tcW w:type="dxa" w:w="2340"/>
          </w:tcPr>
          <w:p>
            <w:pPr>
              <w:spacing w:before="0" w:after="40" w:lineRule="auto" w:line="240"/>
            </w:pPr>
            <w:r>
              <w:rPr>
                <w:rFonts w:ascii="Times New Roman" w:hAnsi="Times New Roman" w:eastAsia="Times New Roman"/>
                <w:b w:val="0"/>
                <w:i w:val="0"/>
                <w:color w:val="000000"/>
                <w:sz w:val="21"/>
              </w:rPr>
              <w:t>tetap pada fase kickoff, milestone utama, dan review keputusan</w:t>
            </w:r>
          </w:p>
        </w:tc>
      </w:tr>
      <w:tr>
        <w:tc>
          <w:tcPr>
            <w:tcW w:type="dxa" w:w="2340"/>
          </w:tcPr>
          <w:p>
            <w:pPr>
              <w:spacing w:before="0" w:after="40" w:lineRule="auto" w:line="240"/>
            </w:pPr>
            <w:r>
              <w:rPr>
                <w:rFonts w:ascii="Times New Roman" w:hAnsi="Times New Roman" w:eastAsia="Times New Roman"/>
                <w:b w:val="0"/>
                <w:i w:val="0"/>
                <w:color w:val="000000"/>
                <w:sz w:val="21"/>
              </w:rPr>
              <w:t>Project Manager / PMO Lead</w:t>
            </w:r>
          </w:p>
        </w:tc>
        <w:tc>
          <w:tcPr>
            <w:tcW w:type="dxa" w:w="2340"/>
          </w:tcPr>
          <w:p>
            <w:pPr>
              <w:spacing w:before="0" w:after="40" w:lineRule="auto" w:line="240"/>
            </w:pPr>
            <w:r>
              <w:rPr>
                <w:rFonts w:ascii="Times New Roman" w:hAnsi="Times New Roman" w:eastAsia="Times New Roman"/>
                <w:b w:val="0"/>
                <w:i w:val="0"/>
                <w:color w:val="000000"/>
                <w:sz w:val="21"/>
              </w:rPr>
              <w:t>mengendalikan timeline, dependency, action log, dan quality gate proyek</w:t>
            </w:r>
          </w:p>
        </w:tc>
        <w:tc>
          <w:tcPr>
            <w:tcW w:type="dxa" w:w="2340"/>
          </w:tcPr>
          <w:p>
            <w:pPr>
              <w:spacing w:before="0" w:after="40" w:lineRule="auto" w:line="240"/>
            </w:pPr>
            <w:r>
              <w:rPr>
                <w:rFonts w:ascii="Times New Roman" w:hAnsi="Times New Roman" w:eastAsia="Times New Roman"/>
                <w:b w:val="0"/>
                <w:i w:val="0"/>
                <w:color w:val="000000"/>
                <w:sz w:val="21"/>
              </w:rPr>
              <w:t>manajemen proyek, governance, dan koordinasi lintas workstream</w:t>
            </w:r>
          </w:p>
        </w:tc>
        <w:tc>
          <w:tcPr>
            <w:tcW w:type="dxa" w:w="2340"/>
          </w:tcPr>
          <w:p>
            <w:pPr>
              <w:spacing w:before="0" w:after="40" w:lineRule="auto" w:line="240"/>
            </w:pPr>
            <w:r>
              <w:rPr>
                <w:rFonts w:ascii="Times New Roman" w:hAnsi="Times New Roman" w:eastAsia="Times New Roman"/>
                <w:b w:val="0"/>
                <w:i w:val="0"/>
                <w:color w:val="000000"/>
                <w:sz w:val="21"/>
              </w:rPr>
              <w:t>aktif sepanjang siklus delivery</w:t>
            </w:r>
          </w:p>
        </w:tc>
      </w:tr>
      <w:tr>
        <w:tc>
          <w:tcPr>
            <w:tcW w:type="dxa" w:w="2340"/>
          </w:tcPr>
          <w:p>
            <w:pPr>
              <w:spacing w:before="0" w:after="40" w:lineRule="auto" w:line="240"/>
            </w:pPr>
            <w:r>
              <w:rPr>
                <w:rFonts w:ascii="Times New Roman" w:hAnsi="Times New Roman" w:eastAsia="Times New Roman"/>
                <w:b w:val="0"/>
                <w:i w:val="0"/>
                <w:color w:val="000000"/>
                <w:sz w:val="21"/>
              </w:rPr>
              <w:t>Solution / Domain Lead</w:t>
            </w:r>
          </w:p>
        </w:tc>
        <w:tc>
          <w:tcPr>
            <w:tcW w:type="dxa" w:w="2340"/>
          </w:tcPr>
          <w:p>
            <w:pPr>
              <w:spacing w:before="0" w:after="40" w:lineRule="auto" w:line="240"/>
            </w:pPr>
            <w:r>
              <w:rPr>
                <w:rFonts w:ascii="Times New Roman" w:hAnsi="Times New Roman" w:eastAsia="Times New Roman"/>
                <w:b w:val="0"/>
                <w:i w:val="0"/>
                <w:color w:val="000000"/>
                <w:sz w:val="21"/>
              </w:rPr>
              <w:t>menerjemahkan kebutuhan strategic ke rancangan kerja dan deliverable utama</w:t>
            </w:r>
          </w:p>
        </w:tc>
        <w:tc>
          <w:tcPr>
            <w:tcW w:type="dxa" w:w="2340"/>
          </w:tcPr>
          <w:p>
            <w:pPr>
              <w:spacing w:before="0" w:after="40" w:lineRule="auto" w:line="240"/>
            </w:pPr>
            <w:r>
              <w:rPr>
                <w:rFonts w:ascii="Times New Roman" w:hAnsi="Times New Roman" w:eastAsia="Times New Roman"/>
                <w:b w:val="0"/>
                <w:i w:val="0"/>
                <w:color w:val="000000"/>
                <w:sz w:val="21"/>
              </w:rPr>
              <w:t>analisis kebutuhan, desain solusi, dan penguatan target state</w:t>
            </w:r>
          </w:p>
        </w:tc>
        <w:tc>
          <w:tcPr>
            <w:tcW w:type="dxa" w:w="2340"/>
          </w:tcPr>
          <w:p>
            <w:pPr>
              <w:spacing w:before="0" w:after="40" w:lineRule="auto" w:line="240"/>
            </w:pPr>
            <w:r>
              <w:rPr>
                <w:rFonts w:ascii="Times New Roman" w:hAnsi="Times New Roman" w:eastAsia="Times New Roman"/>
                <w:b w:val="0"/>
                <w:i w:val="0"/>
                <w:color w:val="000000"/>
                <w:sz w:val="21"/>
              </w:rPr>
              <w:t>intens pada fase analisis, desain, dan review hasil</w:t>
            </w:r>
          </w:p>
        </w:tc>
      </w:tr>
      <w:tr>
        <w:tc>
          <w:tcPr>
            <w:tcW w:type="dxa" w:w="2340"/>
          </w:tcPr>
          <w:p>
            <w:pPr>
              <w:spacing w:before="0" w:after="40" w:lineRule="auto" w:line="240"/>
            </w:pPr>
            <w:r>
              <w:rPr>
                <w:rFonts w:ascii="Times New Roman" w:hAnsi="Times New Roman" w:eastAsia="Times New Roman"/>
                <w:b w:val="0"/>
                <w:i w:val="0"/>
                <w:color w:val="000000"/>
                <w:sz w:val="21"/>
              </w:rPr>
              <w:t>Quality &amp; Governance Reviewer</w:t>
            </w:r>
          </w:p>
        </w:tc>
        <w:tc>
          <w:tcPr>
            <w:tcW w:type="dxa" w:w="2340"/>
          </w:tcPr>
          <w:p>
            <w:pPr>
              <w:spacing w:before="0" w:after="40" w:lineRule="auto" w:line="240"/>
            </w:pPr>
            <w:r>
              <w:rPr>
                <w:rFonts w:ascii="Times New Roman" w:hAnsi="Times New Roman" w:eastAsia="Times New Roman"/>
                <w:b w:val="0"/>
                <w:i w:val="0"/>
                <w:color w:val="000000"/>
                <w:sz w:val="21"/>
              </w:rPr>
              <w:t>memastikan hasil kerja, dokumentasi, dan kontrol proyek sesuai standar</w:t>
            </w:r>
          </w:p>
        </w:tc>
        <w:tc>
          <w:tcPr>
            <w:tcW w:type="dxa" w:w="2340"/>
          </w:tcPr>
          <w:p>
            <w:pPr>
              <w:spacing w:before="0" w:after="40" w:lineRule="auto" w:line="240"/>
            </w:pPr>
            <w:r>
              <w:rPr>
                <w:rFonts w:ascii="Times New Roman" w:hAnsi="Times New Roman" w:eastAsia="Times New Roman"/>
                <w:b w:val="0"/>
                <w:i w:val="0"/>
                <w:color w:val="000000"/>
                <w:sz w:val="21"/>
              </w:rPr>
              <w:t>governance, review mutu, dan pemahaman framework/regulasi TOGAF, ITIL, ISO, Best Practise</w:t>
            </w:r>
          </w:p>
        </w:tc>
        <w:tc>
          <w:tcPr>
            <w:tcW w:type="dxa" w:w="2340"/>
          </w:tcPr>
          <w:p>
            <w:pPr>
              <w:spacing w:before="0" w:after="40" w:lineRule="auto" w:line="240"/>
            </w:pPr>
            <w:r>
              <w:rPr>
                <w:rFonts w:ascii="Times New Roman" w:hAnsi="Times New Roman" w:eastAsia="Times New Roman"/>
                <w:b w:val="0"/>
                <w:i w:val="0"/>
                <w:color w:val="000000"/>
                <w:sz w:val="21"/>
              </w:rPr>
              <w:t>aktif pada quality gate dan sign-off deliverable utama</w:t>
            </w:r>
          </w:p>
        </w:tc>
      </w:tr>
      <w:tr>
        <w:tc>
          <w:tcPr>
            <w:tcW w:type="dxa" w:w="2340"/>
          </w:tcPr>
          <w:p>
            <w:pPr>
              <w:spacing w:before="0" w:after="40" w:lineRule="auto" w:line="240"/>
            </w:pPr>
            <w:r>
              <w:rPr>
                <w:rFonts w:ascii="Times New Roman" w:hAnsi="Times New Roman" w:eastAsia="Times New Roman"/>
                <w:b w:val="0"/>
                <w:i w:val="0"/>
                <w:color w:val="000000"/>
                <w:sz w:val="21"/>
              </w:rPr>
              <w:t>Spesialis Workstream</w:t>
            </w:r>
          </w:p>
        </w:tc>
        <w:tc>
          <w:tcPr>
            <w:tcW w:type="dxa" w:w="2340"/>
          </w:tcPr>
          <w:p>
            <w:pPr>
              <w:spacing w:before="0" w:after="40" w:lineRule="auto" w:line="240"/>
            </w:pPr>
            <w:r>
              <w:rPr>
                <w:rFonts w:ascii="Times New Roman" w:hAnsi="Times New Roman" w:eastAsia="Times New Roman"/>
                <w:b w:val="0"/>
                <w:i w:val="0"/>
                <w:color w:val="000000"/>
                <w:sz w:val="21"/>
              </w:rPr>
              <w:t>menjalankan area prioritas dengan baseline komposisi 1x Project Director, 1x Enterprise Architect</w:t>
            </w:r>
          </w:p>
        </w:tc>
        <w:tc>
          <w:tcPr>
            <w:tcW w:type="dxa" w:w="2340"/>
          </w:tcPr>
          <w:p>
            <w:pPr>
              <w:spacing w:before="0" w:after="40" w:lineRule="auto" w:line="240"/>
            </w:pPr>
            <w:r>
              <w:rPr>
                <w:rFonts w:ascii="Times New Roman" w:hAnsi="Times New Roman" w:eastAsia="Times New Roman"/>
                <w:b w:val="0"/>
                <w:i w:val="0"/>
                <w:color w:val="000000"/>
                <w:sz w:val="21"/>
              </w:rPr>
              <w:t>pelaksanaan aktivitas teknis/fungsional dan penyusunan keluaran detail</w:t>
            </w:r>
          </w:p>
        </w:tc>
        <w:tc>
          <w:tcPr>
            <w:tcW w:type="dxa" w:w="2340"/>
          </w:tcPr>
          <w:p>
            <w:pPr>
              <w:spacing w:before="0" w:after="40" w:lineRule="auto" w:line="240"/>
            </w:pPr>
            <w:r>
              <w:rPr>
                <w:rFonts w:ascii="Times New Roman" w:hAnsi="Times New Roman" w:eastAsia="Times New Roman"/>
                <w:b w:val="0"/>
                <w:i w:val="0"/>
                <w:color w:val="000000"/>
                <w:sz w:val="21"/>
              </w:rPr>
              <w:t>menyesuaikan kebutuhan fase dan area kerja</w:t>
            </w:r>
          </w:p>
        </w:tc>
      </w:tr>
    </w:tbl>
    <w:p>
      <w:r>
        <w:rPr>
          <w:rFonts w:ascii="Times New Roman" w:hAnsi="Times New Roman" w:eastAsia="Times New Roman"/>
          <w:b w:val="0"/>
          <w:i w:val="0"/>
          <w:color w:val="000000"/>
          <w:sz w:val="24"/>
        </w:rPr>
        <w:t>Dengan tabel ini, Bluebird Group memperoleh gambaran yang lebih konkret mengenai siapa yang menjaga keputusan, siapa yang mengawal delivery, dan siapa yang mengamankan mutu hasil kerja. Pendekatan ini membuat bab tenaga ahli lebih mudah diaudit dan lebih meyakinkan bagi sponsor proyek.</w:t>
      </w:r>
    </w:p>
    <w:p>
      <w:r>
        <w:br w:type="page"/>
      </w:r>
    </w:p>
    <w:p>
      <w:pPr>
        <w:pStyle w:val="Heading1"/>
        <w:spacing w:before="0" w:after="240"/>
        <w:jc w:val="center"/>
      </w:pPr>
      <w:r>
        <w:rPr>
          <w:rFonts w:ascii="Times New Roman" w:hAnsi="Times New Roman" w:eastAsia="Times New Roman"/>
          <w:b/>
          <w:color w:val="000000"/>
          <w:sz w:val="28"/>
        </w:rPr>
        <w:t>BAB XII – MODEL PEMBIAYAAN</w:t>
      </w:r>
    </w:p>
    <w:p>
      <w:r>
        <w:rPr>
          <w:rFonts w:ascii="Times New Roman" w:hAnsi="Times New Roman" w:eastAsia="Times New Roman"/>
          <w:b w:val="0"/>
          <w:i w:val="0"/>
          <w:color w:val="000000"/>
          <w:sz w:val="24"/>
        </w:rPr>
        <w:t>Model pembiayaan untuk Bluebird Group disusun agar komitmen biaya, mekanisme pembayaran, dan batas ruang lingkup tetap jelas sejak awal. Tujuannya adalah menjaga proyek maas (mobility as a service) tetap dapat dieksekusi tanpa ambiguitas komersial, sambil memberi ruang kontrol terhadap perubahan yang benar-benar material dan memastikan investasi tetap tertaut pada manfaat yang dijanjikan, terutama arah transformasi yang lebih fokus, prioritas investasi yang lebih defensible, roadmap eksekusi yang lebih mudah disetujui.</w:t>
      </w:r>
    </w:p>
    <w:p>
      <w:pPr>
        <w:pStyle w:val="Heading2"/>
      </w:pPr>
      <w:r>
        <w:rPr>
          <w:rFonts w:ascii="Times New Roman" w:hAnsi="Times New Roman" w:eastAsia="Times New Roman"/>
          <w:b/>
          <w:color w:val="000000"/>
          <w:sz w:val="24"/>
        </w:rPr>
        <w:t>12.1 Biaya dan Tahapan Pembayaran</w:t>
      </w:r>
    </w:p>
    <w:p>
      <w:r>
        <w:rPr>
          <w:rFonts w:ascii="Times New Roman" w:hAnsi="Times New Roman" w:eastAsia="Times New Roman"/>
          <w:b w:val="0"/>
          <w:i w:val="0"/>
          <w:color w:val="000000"/>
          <w:sz w:val="24"/>
        </w:rPr>
        <w:t>Estimasi investasi awal untuk engagement ini adalah</w:t>
      </w:r>
      <w:r>
        <w:rPr>
          <w:rFonts w:ascii="Times New Roman" w:hAnsi="Times New Roman" w:eastAsia="Times New Roman"/>
          <w:b/>
          <w:i w:val="0"/>
          <w:color w:val="000000"/>
          <w:sz w:val="24"/>
        </w:rPr>
        <w:t xml:space="preserve"> Rp 5.400.000</w:t>
      </w:r>
      <w:r>
        <w:rPr>
          <w:rFonts w:ascii="Times New Roman" w:hAnsi="Times New Roman" w:eastAsia="Times New Roman"/>
          <w:b w:val="0"/>
          <w:i w:val="0"/>
          <w:color w:val="000000"/>
          <w:sz w:val="24"/>
        </w:rPr>
        <w:t>, dengan tipe layanan</w:t>
      </w:r>
      <w:r>
        <w:rPr>
          <w:rFonts w:ascii="Times New Roman" w:hAnsi="Times New Roman" w:eastAsia="Times New Roman"/>
          <w:b/>
          <w:i w:val="0"/>
          <w:color w:val="000000"/>
          <w:sz w:val="24"/>
        </w:rPr>
        <w:t xml:space="preserve"> Konsultan</w:t>
      </w:r>
      <w:r>
        <w:rPr>
          <w:rFonts w:ascii="Times New Roman" w:hAnsi="Times New Roman" w:eastAsia="Times New Roman"/>
          <w:b w:val="0"/>
          <w:i w:val="0"/>
          <w:color w:val="000000"/>
          <w:sz w:val="24"/>
        </w:rPr>
        <w:t xml:space="preserve"> pada model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xml:space="preserve"> selama</w:t>
      </w:r>
      <w:r>
        <w:rPr>
          <w:rFonts w:ascii="Times New Roman" w:hAnsi="Times New Roman" w:eastAsia="Times New Roman"/>
          <w:b/>
          <w:i w:val="0"/>
          <w:color w:val="000000"/>
          <w:sz w:val="24"/>
        </w:rPr>
        <w:t xml:space="preserve"> 8 Bulan</w:t>
      </w:r>
      <w:r>
        <w:rPr>
          <w:rFonts w:ascii="Times New Roman" w:hAnsi="Times New Roman" w:eastAsia="Times New Roman"/>
          <w:b w:val="0"/>
          <w:i w:val="0"/>
          <w:color w:val="000000"/>
          <w:sz w:val="24"/>
        </w:rPr>
        <w:t>. Baseline komersial internal yang menjadi acuan adalah Retainer or Fixed-fee based on milestones.</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before="0" w:after="40" w:lineRule="auto" w:line="240"/>
            </w:pPr>
            <w:r>
              <w:rPr>
                <w:rFonts w:ascii="Times New Roman" w:hAnsi="Times New Roman" w:eastAsia="Times New Roman"/>
                <w:b/>
                <w:i w:val="0"/>
                <w:color w:val="000000"/>
                <w:sz w:val="21"/>
              </w:rPr>
              <w:t>Komponen</w:t>
            </w:r>
          </w:p>
        </w:tc>
        <w:tc>
          <w:tcPr>
            <w:tcW w:type="dxa" w:w="4680"/>
            <w:shd w:fill="E7E6E6"/>
          </w:tcPr>
          <w:p>
            <w:pPr>
              <w:spacing w:before="0" w:after="40" w:lineRule="auto" w:line="240"/>
            </w:pPr>
            <w:r>
              <w:rPr>
                <w:rFonts w:ascii="Times New Roman" w:hAnsi="Times New Roman" w:eastAsia="Times New Roman"/>
                <w:b/>
                <w:i w:val="0"/>
                <w:color w:val="000000"/>
                <w:sz w:val="21"/>
              </w:rPr>
              <w:t>Rancangan Komersial</w:t>
            </w:r>
          </w:p>
        </w:tc>
      </w:tr>
      <w:tr>
        <w:tc>
          <w:tcPr>
            <w:tcW w:type="dxa" w:w="4680"/>
          </w:tcPr>
          <w:p>
            <w:pPr>
              <w:spacing w:before="0" w:after="40" w:lineRule="auto" w:line="240"/>
            </w:pPr>
            <w:r>
              <w:rPr>
                <w:rFonts w:ascii="Times New Roman" w:hAnsi="Times New Roman" w:eastAsia="Times New Roman"/>
                <w:b w:val="0"/>
                <w:i w:val="0"/>
                <w:color w:val="000000"/>
                <w:sz w:val="21"/>
              </w:rPr>
              <w:t>Estimasi investasi</w:t>
            </w:r>
          </w:p>
        </w:tc>
        <w:tc>
          <w:tcPr>
            <w:tcW w:type="dxa" w:w="4680"/>
          </w:tcPr>
          <w:p>
            <w:pPr>
              <w:spacing w:before="0" w:after="40" w:lineRule="auto" w:line="240"/>
            </w:pPr>
            <w:r>
              <w:rPr>
                <w:rFonts w:ascii="Times New Roman" w:hAnsi="Times New Roman" w:eastAsia="Times New Roman"/>
                <w:b w:val="0"/>
                <w:i w:val="0"/>
                <w:color w:val="000000"/>
                <w:sz w:val="21"/>
              </w:rPr>
              <w:t>Rp 5.400.000</w:t>
            </w:r>
          </w:p>
        </w:tc>
      </w:tr>
      <w:tr>
        <w:tc>
          <w:tcPr>
            <w:tcW w:type="dxa" w:w="4680"/>
          </w:tcPr>
          <w:p>
            <w:pPr>
              <w:spacing w:before="0" w:after="40" w:lineRule="auto" w:line="240"/>
            </w:pPr>
            <w:r>
              <w:rPr>
                <w:rFonts w:ascii="Times New Roman" w:hAnsi="Times New Roman" w:eastAsia="Times New Roman"/>
                <w:b w:val="0"/>
                <w:i w:val="0"/>
                <w:color w:val="000000"/>
                <w:sz w:val="21"/>
              </w:rPr>
              <w:t>Model engagement</w:t>
            </w:r>
          </w:p>
        </w:tc>
        <w:tc>
          <w:tcPr>
            <w:tcW w:type="dxa" w:w="4680"/>
          </w:tcPr>
          <w:p>
            <w:pPr>
              <w:spacing w:before="0" w:after="40" w:lineRule="auto" w:line="240"/>
            </w:pPr>
            <w:r>
              <w:rPr>
                <w:rFonts w:ascii="Times New Roman" w:hAnsi="Times New Roman" w:eastAsia="Times New Roman"/>
                <w:b w:val="0"/>
                <w:i w:val="0"/>
                <w:color w:val="000000"/>
                <w:sz w:val="21"/>
              </w:rPr>
              <w:t>Konsultan - Strategic</w:t>
            </w:r>
          </w:p>
        </w:tc>
      </w:tr>
      <w:tr>
        <w:tc>
          <w:tcPr>
            <w:tcW w:type="dxa" w:w="4680"/>
          </w:tcPr>
          <w:p>
            <w:pPr>
              <w:spacing w:before="0" w:after="40" w:lineRule="auto" w:line="240"/>
            </w:pPr>
            <w:r>
              <w:rPr>
                <w:rFonts w:ascii="Times New Roman" w:hAnsi="Times New Roman" w:eastAsia="Times New Roman"/>
                <w:b w:val="0"/>
                <w:i w:val="0"/>
                <w:color w:val="000000"/>
                <w:sz w:val="21"/>
              </w:rPr>
              <w:t>Durasi acuan</w:t>
            </w:r>
          </w:p>
        </w:tc>
        <w:tc>
          <w:tcPr>
            <w:tcW w:type="dxa" w:w="4680"/>
          </w:tcPr>
          <w:p>
            <w:pPr>
              <w:spacing w:before="0" w:after="40" w:lineRule="auto" w:line="240"/>
            </w:pPr>
            <w:r>
              <w:rPr>
                <w:rFonts w:ascii="Times New Roman" w:hAnsi="Times New Roman" w:eastAsia="Times New Roman"/>
                <w:b w:val="0"/>
                <w:i w:val="0"/>
                <w:color w:val="000000"/>
                <w:sz w:val="21"/>
              </w:rPr>
              <w:t>8 Bulan</w:t>
            </w:r>
          </w:p>
        </w:tc>
      </w:tr>
      <w:tr>
        <w:tc>
          <w:tcPr>
            <w:tcW w:type="dxa" w:w="4680"/>
          </w:tcPr>
          <w:p>
            <w:pPr>
              <w:spacing w:before="0" w:after="40" w:lineRule="auto" w:line="240"/>
            </w:pPr>
            <w:r>
              <w:rPr>
                <w:rFonts w:ascii="Times New Roman" w:hAnsi="Times New Roman" w:eastAsia="Times New Roman"/>
                <w:b w:val="0"/>
                <w:i w:val="0"/>
                <w:color w:val="000000"/>
                <w:sz w:val="21"/>
              </w:rPr>
              <w:t>Basis commercial</w:t>
            </w:r>
          </w:p>
        </w:tc>
        <w:tc>
          <w:tcPr>
            <w:tcW w:type="dxa" w:w="4680"/>
          </w:tcPr>
          <w:p>
            <w:pPr>
              <w:spacing w:before="0" w:after="40" w:lineRule="auto" w:line="240"/>
            </w:pPr>
            <w:r>
              <w:rPr>
                <w:rFonts w:ascii="Times New Roman" w:hAnsi="Times New Roman" w:eastAsia="Times New Roman"/>
                <w:b w:val="0"/>
                <w:i w:val="0"/>
                <w:color w:val="000000"/>
                <w:sz w:val="21"/>
              </w:rPr>
              <w:t>Retainer or Fixed-fee based on milestones.</w:t>
            </w:r>
          </w:p>
        </w:tc>
      </w:tr>
      <w:tr>
        <w:tc>
          <w:tcPr>
            <w:tcW w:type="dxa" w:w="4680"/>
          </w:tcPr>
          <w:p>
            <w:pPr>
              <w:spacing w:before="0" w:after="40" w:lineRule="auto" w:line="240"/>
            </w:pPr>
            <w:r>
              <w:rPr>
                <w:rFonts w:ascii="Times New Roman" w:hAnsi="Times New Roman" w:eastAsia="Times New Roman"/>
                <w:b w:val="0"/>
                <w:i w:val="0"/>
                <w:color w:val="000000"/>
                <w:sz w:val="21"/>
              </w:rPr>
              <w:t>Mekanisme review</w:t>
            </w:r>
          </w:p>
        </w:tc>
        <w:tc>
          <w:tcPr>
            <w:tcW w:type="dxa" w:w="4680"/>
          </w:tcPr>
          <w:p>
            <w:pPr>
              <w:spacing w:before="0" w:after="40" w:lineRule="auto" w:line="240"/>
            </w:pPr>
            <w:r>
              <w:rPr>
                <w:rFonts w:ascii="Times New Roman" w:hAnsi="Times New Roman" w:eastAsia="Times New Roman"/>
                <w:b w:val="0"/>
                <w:i w:val="0"/>
                <w:color w:val="000000"/>
                <w:sz w:val="21"/>
              </w:rPr>
              <w:t>Review milestone, acceptance deliverable, dan approval perubahan scope</w:t>
            </w:r>
          </w:p>
        </w:tc>
      </w:tr>
    </w:tbl>
    <w:p>
      <w:pPr>
        <w:pStyle w:val="ListNumber"/>
        <w:spacing w:before="0" w:after="80"/>
        <w:numPr>
          <w:ilvl w:val="0"/>
          <w:numId w:val="30"/>
        </w:numPr>
      </w:pPr>
      <w:r>
        <w:rPr>
          <w:rFonts w:ascii="Times New Roman" w:hAnsi="Times New Roman" w:eastAsia="Times New Roman"/>
          <w:b/>
          <w:i w:val="0"/>
          <w:color w:val="000000"/>
          <w:sz w:val="24"/>
        </w:rPr>
        <w:t>Alignment &amp; target design</w:t>
      </w:r>
      <w:r>
        <w:rPr>
          <w:rFonts w:ascii="Times New Roman" w:hAnsi="Times New Roman" w:eastAsia="Times New Roman"/>
          <w:b w:val="0"/>
          <w:i w:val="0"/>
          <w:color w:val="000000"/>
          <w:sz w:val="24"/>
        </w:rPr>
        <w:t xml:space="preserve"> sebesar 30% dari estimasi investasi, ditagihkan setelah milestone terkait diterima.</w:t>
      </w:r>
    </w:p>
    <w:p>
      <w:pPr>
        <w:pStyle w:val="ListNumber"/>
        <w:spacing w:before="0" w:after="80"/>
        <w:numPr>
          <w:ilvl w:val="0"/>
          <w:numId w:val="30"/>
        </w:numPr>
      </w:pPr>
      <w:r>
        <w:rPr>
          <w:rFonts w:ascii="Times New Roman" w:hAnsi="Times New Roman" w:eastAsia="Times New Roman"/>
          <w:b/>
          <w:i w:val="0"/>
          <w:color w:val="000000"/>
          <w:sz w:val="24"/>
        </w:rPr>
        <w:t>Roadmap &amp; executive review</w:t>
      </w:r>
      <w:r>
        <w:rPr>
          <w:rFonts w:ascii="Times New Roman" w:hAnsi="Times New Roman" w:eastAsia="Times New Roman"/>
          <w:b w:val="0"/>
          <w:i w:val="0"/>
          <w:color w:val="000000"/>
          <w:sz w:val="24"/>
        </w:rPr>
        <w:t xml:space="preserve"> sebesar 40% dari estimasi investasi, ditagihkan setelah milestone terkait diterima.</w:t>
      </w:r>
    </w:p>
    <w:p>
      <w:pPr>
        <w:pStyle w:val="ListNumber"/>
        <w:spacing w:before="0" w:after="80"/>
        <w:numPr>
          <w:ilvl w:val="0"/>
          <w:numId w:val="30"/>
        </w:numPr>
      </w:pPr>
      <w:r>
        <w:rPr>
          <w:rFonts w:ascii="Times New Roman" w:hAnsi="Times New Roman" w:eastAsia="Times New Roman"/>
          <w:b/>
          <w:i w:val="0"/>
          <w:color w:val="000000"/>
          <w:sz w:val="24"/>
        </w:rPr>
        <w:t>Final recommendation &amp; handover</w:t>
      </w:r>
      <w:r>
        <w:rPr>
          <w:rFonts w:ascii="Times New Roman" w:hAnsi="Times New Roman" w:eastAsia="Times New Roman"/>
          <w:b w:val="0"/>
          <w:i w:val="0"/>
          <w:color w:val="000000"/>
          <w:sz w:val="24"/>
        </w:rPr>
        <w:t xml:space="preserve"> sebesar 30% dari estimasi investasi, ditagihkan setelah milestone terkait diterima.</w:t>
      </w:r>
    </w:p>
    <w:p>
      <w:pPr>
        <w:pStyle w:val="Heading2"/>
      </w:pPr>
      <w:r>
        <w:rPr>
          <w:rFonts w:ascii="Times New Roman" w:hAnsi="Times New Roman" w:eastAsia="Times New Roman"/>
          <w:b/>
          <w:color w:val="000000"/>
          <w:sz w:val="24"/>
        </w:rPr>
        <w:t>12.2 Model Pekerjaan dan Batasan Pekerjaan</w:t>
      </w:r>
    </w:p>
    <w:p>
      <w:r>
        <w:rPr>
          <w:rFonts w:ascii="Times New Roman" w:hAnsi="Times New Roman" w:eastAsia="Times New Roman"/>
          <w:b w:val="0"/>
          <w:i w:val="0"/>
          <w:color w:val="000000"/>
          <w:sz w:val="24"/>
        </w:rPr>
        <w:t>Model kerja dirancang agar ruang lingkup delivery tetap fokus pada kebutuhan opportunity, directive dan KPI seperti MAU/Adopsi kanal digital: target pertumbuhan terukur dalam 8 bulan.. Karena itu, proposal komersial ini diposisikan sebagai baseline kerja yang transparan, bukan daftar komitmen tanpa batas. Untuk Bluebird Group,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rPr>
          <w:rFonts w:ascii="Times New Roman" w:hAnsi="Times New Roman" w:eastAsia="Times New Roman"/>
          <w:b w:val="0"/>
          <w:i w:val="0"/>
          <w:color w:val="000000"/>
          <w:sz w:val="24"/>
        </w:rPr>
        <w:t>Bab pembiayaan tidak boleh berhenti sebagai angka dan termin pembayaran saja. Untuk Bluebird Group, bagian ini perlu menunjukkan bahwa struktur biaya, tahapan pembayaran, dan batas pekerjaan disusun agar manfaat bisnis seperti MAU/Adopsi kanal digital: target pertumbuhan terukur dalam 8 bulan.</w:t>
      </w:r>
    </w:p>
    <w:p>
      <w:r>
        <w:br w:type="page"/>
      </w:r>
    </w:p>
    <w:p>
      <w:pPr>
        <w:pStyle w:val="Heading1"/>
        <w:spacing w:before="0" w:after="240"/>
        <w:jc w:val="center"/>
      </w:pPr>
      <w:r>
        <w:rPr>
          <w:rFonts w:ascii="Times New Roman" w:hAnsi="Times New Roman" w:eastAsia="Times New Roman"/>
          <w:b/>
          <w:color w:val="000000"/>
          <w:sz w:val="28"/>
        </w:rPr>
        <w:t>PENUTUP &amp; APRESIASI KEMITRAAN</w:t>
      </w:r>
    </w:p>
    <w:p>
      <w:r>
        <w:rPr>
          <w:rFonts w:ascii="Times New Roman" w:hAnsi="Times New Roman" w:eastAsia="Times New Roman"/>
          <w:b w:val="0"/>
          <w:i w:val="0"/>
          <w:color w:val="000000"/>
          <w:sz w:val="24"/>
        </w:rPr>
        <w:t>Terima kasih atas kesempatan yang diberikan kepada Inixindo Jogja untuk menyusun proposal bagi Bluebird Group. Kami memandang inisiatif maas (mobility as a service) bukan hanya sebagai pekerjaan delivery, tetapi sebagai fondasi kemitraan profesional yang harus terasa rapi, hangat, dan dapat dipertanggungjawabkan.</w:t>
      </w:r>
    </w:p>
    <w:p>
      <w:pPr>
        <w:pStyle w:val="Heading2"/>
      </w:pPr>
      <w:r>
        <w:rPr>
          <w:rFonts w:ascii="Times New Roman" w:hAnsi="Times New Roman" w:eastAsia="Times New Roman"/>
          <w:b/>
          <w:color w:val="000000"/>
          <w:sz w:val="24"/>
        </w:rPr>
        <w:t>Apresiasi dan Komitmen Kemitraan</w:t>
      </w:r>
    </w:p>
    <w:p>
      <w:pPr>
        <w:pStyle w:val="ListNumber"/>
        <w:spacing w:before="0" w:after="80"/>
        <w:numPr>
          <w:ilvl w:val="0"/>
          <w:numId w:val="31"/>
        </w:numPr>
      </w:pPr>
      <w:r>
        <w:rPr>
          <w:rFonts w:ascii="Times New Roman" w:hAnsi="Times New Roman" w:eastAsia="Times New Roman"/>
          <w:b w:val="0"/>
          <w:i w:val="0"/>
          <w:color w:val="000000"/>
          <w:sz w:val="24"/>
        </w:rPr>
        <w:t>Kami mengapresiasi keterbukaan Bluebird Group dalam mengangkat konteks, tantangan, dan target bisnis yang menjadi dasar proposal ini.</w:t>
      </w:r>
    </w:p>
    <w:p>
      <w:pPr>
        <w:pStyle w:val="ListNumber"/>
        <w:spacing w:before="0" w:after="80"/>
        <w:numPr>
          <w:ilvl w:val="0"/>
          <w:numId w:val="31"/>
        </w:numPr>
      </w:pPr>
      <w:r>
        <w:rPr>
          <w:rFonts w:ascii="Times New Roman" w:hAnsi="Times New Roman" w:eastAsia="Times New Roman"/>
          <w:b w:val="0"/>
          <w:i w:val="0"/>
          <w:color w:val="000000"/>
          <w:sz w:val="24"/>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1"/>
        </w:numPr>
      </w:pPr>
      <w:r>
        <w:rPr>
          <w:rFonts w:ascii="Times New Roman" w:hAnsi="Times New Roman" w:eastAsia="Times New Roman"/>
          <w:b w:val="0"/>
          <w:i w:val="0"/>
          <w:color w:val="000000"/>
          <w:sz w:val="24"/>
        </w:rPr>
        <w:t>Fokus awal kemitraan diarahkan pada prioritas seperti MAU/Adopsi kanal digital: target pertumbuhan terukur dalam 8 bulan., dengan tata kelola dan ritme eksekusi yang stabil sejak kickoff.</w:t>
      </w:r>
    </w:p>
    <w:p>
      <w:pPr>
        <w:pStyle w:val="ListNumber"/>
        <w:spacing w:before="0" w:after="80"/>
        <w:numPr>
          <w:ilvl w:val="0"/>
          <w:numId w:val="31"/>
        </w:numPr>
      </w:pPr>
      <w:r>
        <w:rPr>
          <w:rFonts w:ascii="Times New Roman" w:hAnsi="Times New Roman" w:eastAsia="Times New Roman"/>
          <w:b w:val="0"/>
          <w:i w:val="0"/>
          <w:color w:val="000000"/>
          <w:sz w:val="24"/>
        </w:rPr>
        <w:t>Kami berharap pekerjaan maas (mobility as a service) dapat berjalan sebagai fondasi kolaborasi yang profesional, terukur, dan memberi hasil yang benar-benar dapat dipakai oleh Bluebird Group.</w:t>
      </w:r>
    </w:p>
    <w:p>
      <w:pPr>
        <w:pBdr>
          <w:bottom w:val="single" w:sz="12" w:space="1" w:color="d6dce4"/>
        </w:pBdr>
        <w:spacing w:after="120" w:before="120"/>
      </w:pPr>
    </w:p>
    <w:p>
      <w:pPr>
        <w:pStyle w:val="Heading2"/>
        <w:spacing w:before="160" w:after="160"/>
        <w:jc w:val="left"/>
      </w:pPr>
      <w:r>
        <w:rPr>
          <w:rFonts w:ascii="Times New Roman" w:hAnsi="Times New Roman" w:eastAsia="Times New Roman"/>
          <w:b/>
          <w:color w:val="000000"/>
          <w:sz w:val="24"/>
        </w:rPr>
        <w:t>Profil Penulis Proposal</w:t>
      </w:r>
    </w:p>
    <w:p>
      <w:pPr>
        <w:spacing w:after="160"/>
      </w:pPr>
      <w:r>
        <w:t>Inixindo Jogja adalah mitra pelatihan, sertifikasi, dan konsultasi IT yang membantu individu dan perusahaan mempercepat kapabilitas digital melalui kurikulum standar internasional, instruktur praktisi, dan layanan konsultasi yang berorientasi pada implementasi.</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Aspek</w:t>
            </w:r>
          </w:p>
        </w:tc>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Keterangan</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Entitas hukum</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PT Inixindo Widya Iswara Nusantara</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Fokus layanan</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Pelatihan IT, sertifikasi, dan konsultasi IT.</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Portofolio</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Dipercaya oleh ribuan perusahaan, menyediakan layanan pelatihan, sertifikasi, dan IT consulting, serta bekerja sama dengan vendor global seperti Microsoft, AWS, dan EC-Council.</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Kapabilitas</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Instruktur bersertifikasi internasional, kurikulum terbarukan, dan kolaborasi dengan vendor global di area cloud, cyber security, jaringan, data center, dan enterprise systems.</w:t>
            </w:r>
          </w:p>
        </w:tc>
      </w:tr>
    </w:tbl>
    <w:p>
      <w:pPr>
        <w:spacing w:before="160" w:after="120"/>
      </w:pPr>
      <w:r>
        <w:rPr>
          <w:rFonts w:ascii="Times New Roman" w:hAnsi="Times New Roman" w:eastAsia="Times New Roman"/>
          <w:b/>
          <w:color w:val="000000"/>
          <w:sz w:val="22"/>
        </w:rPr>
        <w:t>Kontak Resmi</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Kanal</w:t>
            </w:r>
          </w:p>
        </w:tc>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Detail</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Alamat kantor</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Jalan Kenari 69, Yogyakarta, D.I. Yogyakarta</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Email</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marketing@inixindojogja.co.id</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Telp</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(0274) 515448, 554419</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WhatsApp</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+62 823-2549-0909</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Website</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https://inixindojogja.co.id/</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Jam operasional</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Senin-Jumat, 08.00-17.00 WIB</w:t>
            </w:r>
          </w:p>
        </w:tc>
      </w:tr>
    </w:tbl>
    <w:p>
      <w:pPr>
        <w:spacing w:before="120" w:after="0"/>
      </w:pPr>
      <w:r>
        <w:rPr>
          <w:rFonts w:ascii="Times New Roman" w:hAnsi="Times New Roman" w:eastAsia="Times New Roman"/>
          <w:i/>
          <w:color w:val="595959"/>
          <w:sz w:val="18"/>
        </w:rPr>
        <w:t>Profil dan kontak pada bagian ini dirangkum dari kanal resmi yang terverifikasi: inixindojogja.co.id, inixindo.id.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8"/>
  </w:num>
  <w:num w:numId="12">
    <w:abstractNumId w:val="8"/>
  </w:num>
  <w:num w:numId="13">
    <w:abstractNumId w:val="8"/>
  </w:num>
  <w:num w:numId="14">
    <w:abstractNumId w:val="7"/>
  </w:num>
  <w:num w:numId="15">
    <w:abstractNumId w:val="8"/>
  </w:num>
  <w:num w:numId="16">
    <w:abstractNumId w:val="8"/>
  </w:num>
  <w:num w:numId="17">
    <w:abstractNumId w:val="8"/>
  </w:num>
  <w:num w:numId="18">
    <w:abstractNumId w:val="7"/>
  </w:num>
  <w:num w:numId="19">
    <w:abstractNumId w:val="8"/>
  </w:num>
  <w:num w:numId="20">
    <w:abstractNumId w:val="7"/>
  </w:num>
  <w:num w:numId="21">
    <w:abstractNumId w:val="8"/>
  </w:num>
  <w:num w:numId="22">
    <w:abstractNumId w:val="8"/>
  </w:num>
  <w:num w:numId="23">
    <w:abstractNumId w:val="8"/>
  </w:num>
  <w:num w:numId="24">
    <w:abstractNumId w:val="8"/>
  </w:num>
  <w:num w:numId="25">
    <w:abstractNumId w:val="7"/>
  </w:num>
  <w:num w:numId="26">
    <w:abstractNumId w:val="7"/>
  </w:num>
  <w:num w:numId="27">
    <w:abstractNumId w:val="8"/>
  </w:num>
  <w:num w:numId="28">
    <w:abstractNumId w:val="7"/>
  </w:num>
  <w:num w:numId="29">
    <w:abstractNumId w:val="8"/>
  </w:num>
  <w:num w:numId="30">
    <w:abstractNumId w:val="7"/>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Rule="auto" w:line="2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Rule="auto" w:line="2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before="0"/>
      <w:ind w:left="36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before="0"/>
      <w:ind w:left="360" w:hanging="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