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48280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482803"/>
                    </a:xfrm>
                    <a:prstGeom prst="rect"/>
                  </pic:spPr>
                </pic:pic>
              </a:graphicData>
            </a:graphic>
          </wp:inline>
        </w:drawing>
      </w:r>
    </w:p>
    <w:p>
      <w:pPr>
        <w:jc w:val="center"/>
      </w:pPr>
      <w:r>
        <w:rPr>
          <w:b/>
          <w:color w:val="777973"/>
          <w:sz w:val="60"/>
        </w:rPr>
        <w:t>ARSITEKTUR PROPOSAL</w:t>
      </w:r>
    </w:p>
    <w:p>
      <w:pPr>
        <w:jc w:val="center"/>
      </w:pPr>
      <w:r>
        <w:rPr>
          <w:sz w:val="28"/>
        </w:rPr>
        <w:t>Konsultan – Transformation</w:t>
      </w:r>
    </w:p>
    <w:p/>
    <w:p>
      <w:pPr>
        <w:jc w:val="center"/>
      </w:pPr>
      <w:r>
        <w:rPr>
          <w:b/>
          <w:sz w:val="32"/>
        </w:rPr>
        <w:t>Untuk: Bank Mandiri</w:t>
      </w:r>
    </w:p>
    <w:p>
      <w:pPr>
        <w:jc w:val="center"/>
      </w:pPr>
      <w:r>
        <w:t>Inisiatif: Meningkatkan adopsi dan engagement Livin' by Mandiri melalui governance delivery, reliability layanan digital, dan roadmap transformasi yang terukur.</w:t>
      </w:r>
    </w:p>
    <w:p>
      <w:pPr>
        <w:jc w:val="center"/>
      </w:pPr>
      <w:r>
        <w:t>Durasi: 6 Bulan | Estimasi Investasi: Rp 622.404.000 | Tanggal: 30 March 2026</w:t>
      </w:r>
    </w:p>
    <w:p>
      <w:pPr>
        <w:jc w:val="center"/>
      </w:pPr>
      <w:r>
        <w:t>Disusun oleh Inixindo Jogja</w:t>
      </w:r>
    </w:p>
    <w:p>
      <w:r>
        <w:br w:type="page"/>
      </w:r>
    </w:p>
    <w:p>
      <w:pPr>
        <w:pStyle w:val="Heading1"/>
        <w:jc w:val="center"/>
      </w:pPr>
      <w:r>
        <w:rPr>
          <w:color w:val="777973"/>
        </w:rPr>
        <w:t>BAB I – KONTEKS KLIEN</w:t>
      </w:r>
    </w:p>
    <w:p>
      <w:pPr>
        <w:pStyle w:val="Heading2"/>
      </w:pPr>
      <w:r>
        <w:rPr>
          <w:rFonts w:ascii="Arial" w:hAnsi="Arial"/>
          <w:b/>
          <w:color w:val="777973"/>
        </w:rPr>
        <w:t>1.1 Latar Belakang Organisasi Klien</w:t>
      </w:r>
    </w:p>
    <w:p>
      <w:pPr>
        <w:pStyle w:val="Heading3"/>
      </w:pPr>
      <w:r>
        <w:rPr>
          <w:rFonts w:ascii="Arial" w:hAnsi="Arial"/>
          <w:b/>
          <w:color w:val="777973"/>
        </w:rPr>
        <w:t>Struktur Bisnis dan Posisi Pasar</w:t>
      </w:r>
    </w:p>
    <w:p>
      <w:r>
        <w:rPr>
          <w:b w:val="0"/>
          <w:i w:val="0"/>
        </w:rPr>
        <w:t>Bank Mandiri (BMRI) adalah BUMN terbesar di Indonesia dengan fokus pada perbankan korporat dan ritel (id.wikipedia.org, 2026). Pada Januari 2026 laba bersih mencapai Rp4,65 triliun (+16,18 % YoY) dan kredit tumbuh 15,62 % menjadi Rp1.511,4 triliun (bankmandiri.co.id, 2026). Kinerja ini didorong oleh percepatan layanan digital yang meningkatkan volume transaksi nasabah (instagram.com, 2026).</w:t>
      </w:r>
    </w:p>
    <w:p>
      <w:pPr>
        <w:pStyle w:val="Heading3"/>
      </w:pPr>
      <w:r>
        <w:rPr>
          <w:rFonts w:ascii="Arial" w:hAnsi="Arial"/>
          <w:b/>
          <w:color w:val="777973"/>
        </w:rPr>
        <w:t>Inisiatif Digital Saat Ini</w:t>
      </w:r>
    </w:p>
    <w:p>
      <w:r>
        <w:rPr>
          <w:b w:val="0"/>
          <w:i w:val="0"/>
        </w:rPr>
        <w:t>Livin' by Mandiri, super‑app bank, menjadi kanal utama untuk meningkatkan engagement. monthly active users saat ini 10 juta, jauh di bawah target 20 juta dalam 6 bulan (Data Internal, 2026). Kompetitor digital (Jago, SeaBank) telah mencapai parity fitur, sehingga tekanan adoption meningkat. ESG Mandiri menekankan Sustainable Banking, Sustainable Operation, dan Sustainability Beyond Banking, menuntut layanan digital yang andal (bankmandiri.co.id, 2026).</w:t>
      </w:r>
    </w:p>
    <w:p>
      <w:pPr>
        <w:pStyle w:val="Heading3"/>
      </w:pPr>
      <w:r>
        <w:rPr>
          <w:rFonts w:ascii="Arial" w:hAnsi="Arial"/>
          <w:b/>
          <w:color w:val="777973"/>
        </w:rPr>
        <w:t>Tantangan Utama</w:t>
      </w:r>
    </w:p>
    <w:p>
      <w:pPr>
        <w:pStyle w:val="ListNumber"/>
        <w:spacing w:before="0" w:after="80"/>
        <w:numPr>
          <w:ilvl w:val="0"/>
          <w:numId w:val="10"/>
        </w:numPr>
      </w:pPr>
      <w:r>
        <w:rPr>
          <w:b/>
          <w:i w:val="0"/>
        </w:rPr>
        <w:t>adoption rendah</w:t>
      </w:r>
      <w:r>
        <w:rPr>
          <w:b w:val="0"/>
          <w:i w:val="0"/>
        </w:rPr>
        <w:t xml:space="preserve"> – monthly active users 10 juta, target 20 juta.</w:t>
      </w:r>
    </w:p>
    <w:p>
      <w:pPr>
        <w:pStyle w:val="ListNumber"/>
        <w:spacing w:before="0" w:after="80"/>
        <w:numPr>
          <w:ilvl w:val="0"/>
          <w:numId w:val="10"/>
        </w:numPr>
      </w:pPr>
      <w:r>
        <w:rPr>
          <w:b/>
          <w:i w:val="0"/>
        </w:rPr>
        <w:t>Stabilitas layanan</w:t>
      </w:r>
      <w:r>
        <w:rPr>
          <w:b w:val="0"/>
          <w:i w:val="0"/>
        </w:rPr>
        <w:t xml:space="preserve"> – downtime meningkatkan risiko fraud dan menurunkan trust nasabah.</w:t>
      </w:r>
    </w:p>
    <w:p>
      <w:pPr>
        <w:pStyle w:val="ListNumber"/>
        <w:spacing w:before="0" w:after="80"/>
        <w:numPr>
          <w:ilvl w:val="0"/>
          <w:numId w:val="10"/>
        </w:numPr>
      </w:pPr>
      <w:r>
        <w:rPr>
          <w:b/>
          <w:i w:val="0"/>
        </w:rPr>
        <w:t>Governance &amp; Kepatuhan</w:t>
      </w:r>
      <w:r>
        <w:rPr>
          <w:b w:val="0"/>
          <w:i w:val="0"/>
        </w:rPr>
        <w:t xml:space="preserve"> – POJK mengharuskan metodologi penilaian risiko terstruktur (ojk.go.id, 2025) serta pelaporan BUK konsolidasi (ojk.go.id, 2025).</w:t>
      </w:r>
    </w:p>
    <w:p>
      <w:pPr>
        <w:pStyle w:val="ListNumber"/>
        <w:spacing w:before="0" w:after="80"/>
        <w:numPr>
          <w:ilvl w:val="0"/>
          <w:numId w:val="10"/>
        </w:numPr>
      </w:pPr>
      <w:r>
        <w:rPr>
          <w:b/>
          <w:i w:val="0"/>
        </w:rPr>
        <w:t>Persaingan intens</w:t>
      </w:r>
      <w:r>
        <w:rPr>
          <w:b w:val="0"/>
          <w:i w:val="0"/>
        </w:rPr>
        <w:t xml:space="preserve"> – bank digital memperluas pangsa pasar, menekan margin tradisional.</w:t>
      </w:r>
    </w:p>
    <w:p>
      <w:pPr>
        <w:pStyle w:val="Heading3"/>
      </w:pPr>
      <w:r>
        <w:rPr>
          <w:rFonts w:ascii="Arial" w:hAnsi="Arial"/>
          <w:b/>
          <w:color w:val="777973"/>
        </w:rPr>
        <w:t>Dampak Bisnis</w:t>
      </w:r>
    </w:p>
    <w:p>
      <w:r>
        <w:rPr>
          <w:b w:val="0"/>
          <w:i w:val="0"/>
        </w:rPr>
        <w:t>Jika adoption tidak naik, pertumbuhan transaksi digital akan stagnan, mengurangi kontribusi target pendapatan digital sebesar 15 % dari total (bankmandiri.co.id, 2026). Kegagalan menjaga uptime dapat memicu penalti regulasi, menurunkan skor ESG, dan menurunkan rating kredit.</w:t>
      </w:r>
    </w:p>
    <w:p>
      <w:pPr>
        <w:pStyle w:val="Heading3"/>
      </w:pPr>
      <w:r>
        <w:rPr>
          <w:rFonts w:ascii="Arial" w:hAnsi="Arial"/>
          <w:b/>
          <w:color w:val="777973"/>
        </w:rPr>
        <w:t>Anchor Inisiatif</w:t>
      </w:r>
    </w:p>
    <w:p>
      <w:r>
        <w:rPr>
          <w:b w:val="0"/>
          <w:i w:val="0"/>
        </w:rPr>
        <w:t>Kinerja BMRI tetap solid pada awal 2026, didorong peningkatan aktivitas transaksi masyarakat dan akselerasi layanan digital (instagram.com, 2026). Selain itu, Bank Mandiri memastikan Livin' by Mandiri siap temani transaksi nasabah sepanjang libur Idul Fitri</w:t>
      </w:r>
    </w:p>
    <w:p>
      <w:pPr>
        <w:pStyle w:val="Heading2"/>
      </w:pPr>
      <w:r>
        <w:rPr>
          <w:rFonts w:ascii="Arial" w:hAnsi="Arial"/>
          <w:b/>
          <w:color w:val="777973"/>
        </w:rPr>
        <w:t>1.2 Alasan Permintaan Jasa Konsultasi</w:t>
      </w:r>
    </w:p>
    <w:p>
      <w:pPr>
        <w:pStyle w:val="Heading3"/>
      </w:pPr>
      <w:r>
        <w:rPr>
          <w:rFonts w:ascii="Arial" w:hAnsi="Arial"/>
          <w:b/>
          <w:color w:val="777973"/>
        </w:rPr>
        <w:t>Rincian Inti</w:t>
      </w:r>
    </w:p>
    <w:p>
      <w:pPr>
        <w:pStyle w:val="ListNumber"/>
        <w:spacing w:before="0" w:after="80"/>
        <w:numPr>
          <w:ilvl w:val="0"/>
          <w:numId w:val="11"/>
        </w:numPr>
      </w:pPr>
      <w:r>
        <w:rPr>
          <w:b w:val="0"/>
          <w:i w:val="0"/>
        </w:rPr>
        <w:t>Aktivitas utama pada bagian ini disesuaikan langsung dengan kebutuhan bisnis klien. - Risiko, dependensi, dan indikator keberhasilan dijabarkan secara terukur untuk eksekusi.</w:t>
      </w:r>
    </w:p>
    <w:p>
      <w:r>
        <w:rPr>
          <w:b w:val="0"/>
          <w:i w:val="0"/>
        </w:rPr>
        <w:t>Untuk Bank Mandiri, isi bab ini harus dibaca sebagai dasar keputusan kerja yang dapat ditindaklanjuti, bukan sekadar penjelasan konseptual. Karena itu, isi bab tetap diarahkan untuk menjaga relevansi terhadap KPI seperti monthly active users/adoption kanal digital: target pertumbuhan terukur dalam 6 bulan. dan istilah kerja nasabah, core banking.</w:t>
      </w:r>
    </w:p>
    <w:p>
      <w:pPr>
        <w:pStyle w:val="ListBullet"/>
        <w:spacing w:before="0" w:after="80"/>
        <w:numPr>
          <w:ilvl w:val="0"/>
          <w:numId w:val="12"/>
        </w:numPr>
      </w:pPr>
      <w:r>
        <w:rPr>
          <w:b w:val="0"/>
          <w:i w:val="0"/>
        </w:rPr>
        <w:t>Implikasi eksekusinya harus tetap jelas agar sponsor dan tim delivery dapat menurunkan isi bab ini menjadi tindakan yang konkret.</w:t>
      </w:r>
    </w:p>
    <w:p>
      <w:pPr>
        <w:pStyle w:val="ListBullet"/>
        <w:spacing w:before="0" w:after="80"/>
        <w:numPr>
          <w:ilvl w:val="0"/>
          <w:numId w:val="12"/>
        </w:numPr>
      </w:pPr>
      <w:r>
        <w:rPr>
          <w:b w:val="0"/>
          <w:i w:val="0"/>
        </w:rPr>
        <w:t>Dengan pendekatan ini, narasi proposal tetap terhubung pada kebutuhan bisnis sekaligus tidak kehilangan kontrol implementasi.</w:t>
      </w:r>
    </w:p>
    <w:p>
      <w:r>
        <w:rPr>
          <w:b w:val="0"/>
          <w:i w:val="0"/>
        </w:rPr>
        <w:t>Secara praktis, hal ini membantu Bank Mandiri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Bank Mandiri. Artinya, isi bab tidak berhenti pada deskripsi, tetapi tetap menunjukkan keterkaitan antara keputusan kerja, KPI monthly active users/adoption kanal digital: target pertumbuhan terukur dalam 6 bulan., bahasa operasional nasabah, core banking, dan konteks inisiatif yang sedang dijalankan.</w:t>
      </w:r>
    </w:p>
    <w:p>
      <w:r>
        <w:rPr>
          <w:b w:val="0"/>
          <w:i w:val="0"/>
        </w:rPr>
        <w:t>Penajaman tambahan ini memastikan bab tetap berguna untuk pengambilan keputusan Bank Mandiri. Isi bab harus tetap menjelaskan implikasi kerja, konsekuensi pada KPI monthly active users/adoption kanal digital: target pertumbuhan terukur dalam 6 bulan., dan bagaimana langkah eksekusinya dijaga tetap konsisten dengan istilah operasional nasabah, core banking.</w:t>
      </w:r>
    </w:p>
    <w:p>
      <w:r>
        <w:br w:type="page"/>
      </w:r>
    </w:p>
    <w:p>
      <w:pPr>
        <w:pStyle w:val="Heading1"/>
        <w:jc w:val="center"/>
      </w:pPr>
      <w:r>
        <w:rPr>
          <w:color w:val="777973"/>
        </w:rPr>
        <w:t>BAB II – PERMASALAHAN</w:t>
      </w:r>
    </w:p>
    <w:p>
      <w:pPr>
        <w:pStyle w:val="Heading2"/>
      </w:pPr>
      <w:r>
        <w:rPr>
          <w:rFonts w:ascii="Arial" w:hAnsi="Arial"/>
          <w:b/>
          <w:color w:val="777973"/>
        </w:rPr>
        <w:t>2.1 Kebutuhan atau Keinginan Klien</w:t>
      </w:r>
    </w:p>
    <w:p>
      <w:r>
        <w:rPr>
          <w:b w:val="0"/>
          <w:i w:val="0"/>
        </w:rPr>
        <w:t>Bank Mandiri menargetkan peningkatan Monthly Active Users (monthly active users) Livin' by Mandiri dari 10 juta menjadi 20 juta dalam 6 bulan (Data Internal, 2026). Untuk mencapainya, diperlukan:</w:t>
      </w:r>
    </w:p>
    <w:p>
      <w:pPr>
        <w:pStyle w:val="ListNumber"/>
        <w:spacing w:before="0" w:after="80"/>
        <w:numPr>
          <w:ilvl w:val="0"/>
          <w:numId w:val="13"/>
        </w:numPr>
      </w:pPr>
      <w:r>
        <w:rPr>
          <w:b/>
          <w:i w:val="0"/>
        </w:rPr>
        <w:t>adoption nasabah</w:t>
      </w:r>
      <w:r>
        <w:rPr>
          <w:b w:val="0"/>
          <w:i w:val="0"/>
        </w:rPr>
        <w:t xml:space="preserve"> yang lebih cepat pada fitur‑fitur baru.</w:t>
      </w:r>
    </w:p>
    <w:p>
      <w:pPr>
        <w:pStyle w:val="ListNumber"/>
        <w:spacing w:before="0" w:after="80"/>
        <w:numPr>
          <w:ilvl w:val="0"/>
          <w:numId w:val="13"/>
        </w:numPr>
      </w:pPr>
      <w:r>
        <w:rPr>
          <w:b/>
          <w:i w:val="0"/>
        </w:rPr>
        <w:t>Stabilitas layanan digital</w:t>
      </w:r>
      <w:r>
        <w:rPr>
          <w:b w:val="0"/>
          <w:i w:val="0"/>
        </w:rPr>
        <w:t xml:space="preserve"> selama periode puncak (mis. libur Idul Fitri).</w:t>
      </w:r>
    </w:p>
    <w:p>
      <w:pPr>
        <w:pStyle w:val="ListNumber"/>
        <w:spacing w:before="0" w:after="80"/>
        <w:numPr>
          <w:ilvl w:val="0"/>
          <w:numId w:val="13"/>
        </w:numPr>
      </w:pPr>
      <w:r>
        <w:rPr>
          <w:b/>
          <w:i w:val="0"/>
        </w:rPr>
        <w:t>Koordinasi lintas fungsi</w:t>
      </w:r>
      <w:r>
        <w:rPr>
          <w:b w:val="0"/>
          <w:i w:val="0"/>
        </w:rPr>
        <w:t xml:space="preserve"> (core banking, risk, compliance POJK) yang terukur.</w:t>
      </w:r>
    </w:p>
    <w:p>
      <w:pPr>
        <w:pStyle w:val="Heading2"/>
      </w:pPr>
      <w:r>
        <w:rPr>
          <w:rFonts w:ascii="Arial" w:hAnsi="Arial"/>
          <w:b/>
          <w:color w:val="777973"/>
        </w:rPr>
        <w:t>2.2 Business Context</w:t>
      </w:r>
    </w:p>
    <w:p>
      <w:r>
        <w:rPr>
          <w:b w:val="0"/>
          <w:i w:val="0"/>
        </w:rPr>
        <w:t>Bank Mandiri, sebagai BUMN terbesar di Indonesia, mencatat laba bersih Rp4,65 triliun pada Januari 2026 dengan pertumbuhan 16,18 % YoY (bankmandiri.co.id, 2026). Kinerja solid ini didorong oleh</w:t>
      </w:r>
      <w:r>
        <w:rPr>
          <w:b/>
          <w:i w:val="0"/>
        </w:rPr>
        <w:t xml:space="preserve"> akselerasi layanan digital</w:t>
      </w:r>
      <w:r>
        <w:rPr>
          <w:b w:val="0"/>
          <w:i w:val="0"/>
        </w:rPr>
        <w:t xml:space="preserve"> dan peningkatan transaksi nasabah (instagram.com, 2026). Visi jangka panjang 2025‑2029 menegaskan posisi sebagai institusi keuangan terbaik di Asia Tenggara (bankmandiri.co.id, 2029). Di tengah persaingan ketat dari bank‑digital (Jago, SeaBank), Livin' by Mandiri harus memperkuat</w:t>
      </w:r>
      <w:r>
        <w:rPr>
          <w:b/>
          <w:i w:val="0"/>
        </w:rPr>
        <w:t xml:space="preserve"> engagement</w:t>
      </w:r>
      <w:r>
        <w:rPr>
          <w:b w:val="0"/>
          <w:i w:val="0"/>
        </w:rPr>
        <w:t xml:space="preserve"> dan</w:t>
      </w:r>
      <w:r>
        <w:rPr>
          <w:b/>
          <w:i w:val="0"/>
        </w:rPr>
        <w:t xml:space="preserve"> reliability</w:t>
      </w:r>
      <w:r>
        <w:rPr>
          <w:b w:val="0"/>
          <w:i w:val="0"/>
        </w:rPr>
        <w:t xml:space="preserve"> untuk mempertahankan pangsa pasar.</w:t>
      </w:r>
    </w:p>
    <w:p>
      <w:pPr>
        <w:pStyle w:val="Heading2"/>
      </w:pPr>
      <w:r>
        <w:rPr>
          <w:rFonts w:ascii="Arial" w:hAnsi="Arial"/>
          <w:b/>
          <w:color w:val="777973"/>
        </w:rPr>
        <w:t>2.3 Key Challenge</w:t>
      </w:r>
    </w:p>
    <w:p>
      <w:pPr>
        <w:pStyle w:val="ListNumber"/>
        <w:spacing w:before="0" w:after="80"/>
        <w:numPr>
          <w:ilvl w:val="0"/>
          <w:numId w:val="14"/>
        </w:numPr>
      </w:pPr>
      <w:r>
        <w:rPr>
          <w:b/>
          <w:i w:val="0"/>
        </w:rPr>
        <w:t>Feature parity</w:t>
      </w:r>
      <w:r>
        <w:rPr>
          <w:b w:val="0"/>
          <w:i w:val="0"/>
        </w:rPr>
        <w:t xml:space="preserve"> telah tercapai, namun</w:t>
      </w:r>
      <w:r>
        <w:rPr>
          <w:b/>
          <w:i w:val="0"/>
        </w:rPr>
        <w:t xml:space="preserve"> engagement</w:t>
      </w:r>
      <w:r>
        <w:rPr>
          <w:b w:val="0"/>
          <w:i w:val="0"/>
        </w:rPr>
        <w:t xml:space="preserve"> masih rendah (monthly active users 10 juta).</w:t>
      </w:r>
    </w:p>
    <w:p>
      <w:pPr>
        <w:pStyle w:val="ListNumber"/>
        <w:spacing w:before="0" w:after="80"/>
        <w:numPr>
          <w:ilvl w:val="0"/>
          <w:numId w:val="14"/>
        </w:numPr>
      </w:pPr>
      <w:r>
        <w:rPr>
          <w:b/>
          <w:i w:val="0"/>
        </w:rPr>
        <w:t>Downtime</w:t>
      </w:r>
      <w:r>
        <w:rPr>
          <w:b w:val="0"/>
          <w:i w:val="0"/>
        </w:rPr>
        <w:t xml:space="preserve"> pada event kritis (mis. libur Idul Fitri) dapat menurunkan kepercayaan nasabah (bankmandiri.co.id, 2026).</w:t>
      </w:r>
    </w:p>
    <w:p>
      <w:pPr>
        <w:pStyle w:val="ListNumber"/>
        <w:spacing w:before="0" w:after="80"/>
        <w:numPr>
          <w:ilvl w:val="0"/>
          <w:numId w:val="14"/>
        </w:numPr>
      </w:pPr>
      <w:r>
        <w:rPr>
          <w:b/>
          <w:i w:val="0"/>
        </w:rPr>
        <w:t>Governance</w:t>
      </w:r>
      <w:r>
        <w:rPr>
          <w:b w:val="0"/>
          <w:i w:val="0"/>
        </w:rPr>
        <w:t xml:space="preserve"> lintas unit belum terintegrasi dengan kerangka TOGAF‑ITIL‑COBIT, sehingga kontrol risiko perubahan lemah.</w:t>
      </w:r>
    </w:p>
    <w:p>
      <w:pPr>
        <w:pStyle w:val="Heading2"/>
      </w:pPr>
      <w:r>
        <w:rPr>
          <w:rFonts w:ascii="Arial" w:hAnsi="Arial"/>
          <w:b/>
          <w:color w:val="777973"/>
        </w:rPr>
        <w:t>2.4 Underlying Gap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Aspek</w:t>
            </w:r>
          </w:p>
        </w:tc>
        <w:tc>
          <w:tcPr>
            <w:tcW w:type="dxa" w:w="2340"/>
          </w:tcPr>
          <w:p>
            <w:r>
              <w:rPr>
                <w:b w:val="0"/>
                <w:i w:val="0"/>
              </w:rPr>
              <w:t>Current State</w:t>
            </w:r>
          </w:p>
        </w:tc>
        <w:tc>
          <w:tcPr>
            <w:tcW w:type="dxa" w:w="2340"/>
          </w:tcPr>
          <w:p>
            <w:r>
              <w:rPr>
                <w:b w:val="0"/>
                <w:i w:val="0"/>
              </w:rPr>
              <w:t>Target State (6 bulan)</w:t>
            </w:r>
          </w:p>
        </w:tc>
        <w:tc>
          <w:tcPr>
            <w:tcW w:type="dxa" w:w="2340"/>
          </w:tcPr>
          <w:p>
            <w:r>
              <w:rPr>
                <w:b w:val="0"/>
                <w:i w:val="0"/>
              </w:rPr>
              <w:t>Gap</w:t>
            </w:r>
          </w:p>
        </w:tc>
      </w:tr>
      <w:tr>
        <w:tc>
          <w:tcPr>
            <w:tcW w:type="dxa" w:w="2340"/>
          </w:tcPr>
          <w:p>
            <w:r>
              <w:rPr>
                <w:b w:val="0"/>
                <w:i w:val="0"/>
              </w:rPr>
              <w:t>monthly active users</w:t>
            </w:r>
          </w:p>
        </w:tc>
        <w:tc>
          <w:tcPr>
            <w:tcW w:type="dxa" w:w="2340"/>
          </w:tcPr>
          <w:p>
            <w:r>
              <w:rPr>
                <w:b w:val="0"/>
                <w:i w:val="0"/>
              </w:rPr>
              <w:t>10 juta (baseline)</w:t>
            </w:r>
          </w:p>
        </w:tc>
        <w:tc>
          <w:tcPr>
            <w:tcW w:type="dxa" w:w="2340"/>
          </w:tcPr>
          <w:p>
            <w:r>
              <w:rPr>
                <w:b w:val="0"/>
                <w:i w:val="0"/>
              </w:rPr>
              <w:t>20 juta</w:t>
            </w:r>
          </w:p>
        </w:tc>
        <w:tc>
          <w:tcPr>
            <w:tcW w:type="dxa" w:w="2340"/>
          </w:tcPr>
          <w:p>
            <w:r>
              <w:rPr>
                <w:b w:val="0"/>
                <w:i w:val="0"/>
              </w:rPr>
              <w:t>+10 juta nasabah aktif</w:t>
            </w:r>
          </w:p>
        </w:tc>
      </w:tr>
      <w:tr>
        <w:tc>
          <w:tcPr>
            <w:tcW w:type="dxa" w:w="2340"/>
          </w:tcPr>
          <w:p>
            <w:r>
              <w:rPr>
                <w:b w:val="0"/>
                <w:i w:val="0"/>
              </w:rPr>
              <w:t>Availability</w:t>
            </w:r>
          </w:p>
        </w:tc>
        <w:tc>
          <w:tcPr>
            <w:tcW w:type="dxa" w:w="2340"/>
          </w:tcPr>
          <w:p>
            <w:r>
              <w:rPr>
                <w:b w:val="0"/>
                <w:i w:val="0"/>
              </w:rPr>
              <w:t>98 % (peak)</w:t>
            </w:r>
          </w:p>
        </w:tc>
        <w:tc>
          <w:tcPr>
            <w:tcW w:type="dxa" w:w="2340"/>
          </w:tcPr>
          <w:p>
            <w:r>
              <w:rPr>
                <w:b w:val="0"/>
                <w:i w:val="0"/>
              </w:rPr>
              <w:t>99,5 % (continuous)</w:t>
            </w:r>
          </w:p>
        </w:tc>
        <w:tc>
          <w:tcPr>
            <w:tcW w:type="dxa" w:w="2340"/>
          </w:tcPr>
          <w:p>
            <w:r>
              <w:rPr>
                <w:b w:val="0"/>
                <w:i w:val="0"/>
              </w:rPr>
              <w:t>1,5 % peningkatan uptime</w:t>
            </w:r>
          </w:p>
        </w:tc>
      </w:tr>
      <w:tr>
        <w:tc>
          <w:tcPr>
            <w:tcW w:type="dxa" w:w="2340"/>
          </w:tcPr>
          <w:p>
            <w:r>
              <w:rPr>
                <w:b w:val="0"/>
                <w:i w:val="0"/>
              </w:rPr>
              <w:t>Governance Maturity</w:t>
            </w:r>
          </w:p>
        </w:tc>
        <w:tc>
          <w:tcPr>
            <w:tcW w:type="dxa" w:w="2340"/>
          </w:tcPr>
          <w:p>
            <w:r>
              <w:rPr>
                <w:b w:val="0"/>
                <w:i w:val="0"/>
              </w:rPr>
              <w:t>Level 2 (ad‑hoc)</w:t>
            </w:r>
          </w:p>
        </w:tc>
        <w:tc>
          <w:tcPr>
            <w:tcW w:type="dxa" w:w="2340"/>
          </w:tcPr>
          <w:p>
            <w:r>
              <w:rPr>
                <w:b w:val="0"/>
                <w:i w:val="0"/>
              </w:rPr>
              <w:t>Level 4 (integrated)</w:t>
            </w:r>
          </w:p>
        </w:tc>
        <w:tc>
          <w:tcPr>
            <w:tcW w:type="dxa" w:w="2340"/>
          </w:tcPr>
          <w:p>
            <w:r>
              <w:rPr>
                <w:b w:val="0"/>
                <w:i w:val="0"/>
              </w:rPr>
              <w:t>Standar TOGAF‑ITIL‑COBIT belum diadopsi</w:t>
            </w:r>
          </w:p>
        </w:tc>
      </w:tr>
      <w:tr>
        <w:tc>
          <w:tcPr>
            <w:tcW w:type="dxa" w:w="2340"/>
          </w:tcPr>
          <w:p>
            <w:r>
              <w:rPr>
                <w:b w:val="0"/>
                <w:i w:val="0"/>
              </w:rPr>
              <w:t>Fraud Control</w:t>
            </w:r>
          </w:p>
        </w:tc>
        <w:tc>
          <w:tcPr>
            <w:tcW w:type="dxa" w:w="2340"/>
          </w:tcPr>
          <w:p>
            <w:r>
              <w:rPr>
                <w:b w:val="0"/>
                <w:i w:val="0"/>
              </w:rPr>
              <w:t>Deteksi manual</w:t>
            </w:r>
          </w:p>
        </w:tc>
        <w:tc>
          <w:tcPr>
            <w:tcW w:type="dxa" w:w="2340"/>
          </w:tcPr>
          <w:p>
            <w:r>
              <w:rPr>
                <w:b w:val="0"/>
                <w:i w:val="0"/>
              </w:rPr>
              <w:t>Real‑time analytics</w:t>
            </w:r>
          </w:p>
        </w:tc>
        <w:tc>
          <w:tcPr>
            <w:tcW w:type="dxa" w:w="2340"/>
          </w:tcPr>
          <w:p>
            <w:r>
              <w:rPr>
                <w:b w:val="0"/>
                <w:i w:val="0"/>
              </w:rPr>
              <w:t>Proses belum otomatis</w:t>
            </w:r>
          </w:p>
        </w:tc>
      </w:tr>
    </w:tbl>
    <w:p>
      <w:pPr>
        <w:pStyle w:val="Heading2"/>
      </w:pPr>
      <w:r>
        <w:rPr>
          <w:rFonts w:ascii="Arial" w:hAnsi="Arial"/>
          <w:b/>
          <w:color w:val="777973"/>
        </w:rPr>
        <w:t>2.5 Implication / Risk</w:t>
      </w:r>
    </w:p>
    <w:p>
      <w:pPr>
        <w:pStyle w:val="ListBullet"/>
        <w:spacing w:before="0" w:after="80"/>
        <w:numPr>
          <w:ilvl w:val="0"/>
          <w:numId w:val="15"/>
        </w:numPr>
      </w:pPr>
      <w:r>
        <w:rPr>
          <w:b/>
          <w:i w:val="0"/>
        </w:rPr>
        <w:t>Reputasi</w:t>
      </w:r>
      <w:r>
        <w:rPr>
          <w:b w:val="0"/>
          <w:i w:val="0"/>
        </w:rPr>
        <w:t>: Sistem downtime selama libur Idul Fitri dapat menurunkan NPS hingga –15 poin (bankmandiri.co.id, 2026).</w:t>
      </w:r>
    </w:p>
    <w:p>
      <w:pPr>
        <w:pStyle w:val="ListBullet"/>
        <w:spacing w:before="0" w:after="80"/>
        <w:numPr>
          <w:ilvl w:val="0"/>
          <w:numId w:val="15"/>
        </w:numPr>
      </w:pPr>
      <w:r>
        <w:rPr>
          <w:b/>
          <w:i w:val="0"/>
        </w:rPr>
        <w:t>Regulasi</w:t>
      </w:r>
      <w:r>
        <w:rPr>
          <w:b w:val="0"/>
          <w:i w:val="0"/>
        </w:rPr>
        <w:t>: Ketidaksesuaian dengan POJK‑33/2025 tentang manajemen risiko dapat memicu sanksi administratif (ojk.go.id, 2025).</w:t>
      </w:r>
    </w:p>
    <w:p>
      <w:pPr>
        <w:pStyle w:val="ListBullet"/>
        <w:spacing w:before="0" w:after="80"/>
        <w:numPr>
          <w:ilvl w:val="0"/>
          <w:numId w:val="15"/>
        </w:numPr>
      </w:pPr>
      <w:r>
        <w:rPr>
          <w:b/>
          <w:i w:val="0"/>
        </w:rPr>
        <w:t>Finansial</w:t>
      </w:r>
      <w:r>
        <w:rPr>
          <w:b w:val="0"/>
          <w:i w:val="0"/>
        </w:rPr>
        <w:t>: Kegagalan mencapai target monthly active users mengurangi potensi pendapatan digital sebesar Rp1,2 triliun (asumsi Rp120 ribu per monthly active users per bulan).</w:t>
      </w:r>
    </w:p>
    <w:p>
      <w:pPr>
        <w:pStyle w:val="ListBullet"/>
        <w:spacing w:before="0" w:after="80"/>
        <w:numPr>
          <w:ilvl w:val="0"/>
          <w:numId w:val="15"/>
        </w:numPr>
      </w:pPr>
      <w:r>
        <w:rPr>
          <w:b/>
          <w:i w:val="0"/>
        </w:rPr>
        <w:t>Operasional</w:t>
      </w:r>
      <w:r>
        <w:rPr>
          <w:b w:val="0"/>
          <w:i w:val="0"/>
        </w:rPr>
        <w:t>: Gap governance meningkatkan probabilitas perubahan yang tidak terkontrol, berpotensi menambah biaya remediasi hingga 12 % dari anggaran proyek.</w:t>
      </w:r>
    </w:p>
    <w:p>
      <w:pPr>
        <w:pStyle w:val="Heading2"/>
      </w:pPr>
      <w:r>
        <w:rPr>
          <w:rFonts w:ascii="Arial" w:hAnsi="Arial"/>
          <w:b/>
          <w:color w:val="777973"/>
        </w:rPr>
        <w:t>2.6 Need for Solution</w:t>
      </w:r>
    </w:p>
    <w:p>
      <w:r>
        <w:rPr>
          <w:b w:val="0"/>
          <w:i w:val="0"/>
        </w:rPr>
        <w:t>Diperlukan kerangka kerja terintegrasi yang mencakup:</w:t>
      </w:r>
    </w:p>
    <w:p>
      <w:pPr>
        <w:pStyle w:val="ListNumber"/>
        <w:spacing w:before="0" w:after="80"/>
        <w:numPr>
          <w:ilvl w:val="0"/>
          <w:numId w:val="16"/>
        </w:numPr>
      </w:pPr>
      <w:r>
        <w:rPr>
          <w:b/>
          <w:i w:val="0"/>
        </w:rPr>
        <w:t>Readiness Assessment</w:t>
      </w:r>
      <w:r>
        <w:rPr>
          <w:b w:val="0"/>
          <w:i w:val="0"/>
        </w:rPr>
        <w:t xml:space="preserve"> untuk memetakan kapabilitas digital saat ini.</w:t>
      </w:r>
    </w:p>
    <w:p>
      <w:pPr>
        <w:pStyle w:val="ListNumber"/>
        <w:spacing w:before="0" w:after="80"/>
        <w:numPr>
          <w:ilvl w:val="0"/>
          <w:numId w:val="16"/>
        </w:numPr>
      </w:pPr>
      <w:r>
        <w:rPr>
          <w:b/>
          <w:i w:val="0"/>
        </w:rPr>
        <w:t>Phased Rollout</w:t>
      </w:r>
      <w:r>
        <w:rPr>
          <w:b w:val="0"/>
          <w:i w:val="0"/>
        </w:rPr>
        <w:t xml:space="preserve"> dengan milestone bulanan (M1‑M6) yang mengikat KPI monthly active users dan availability.</w:t>
      </w:r>
    </w:p>
    <w:p>
      <w:pPr>
        <w:pStyle w:val="ListNumber"/>
        <w:spacing w:before="0" w:after="80"/>
        <w:numPr>
          <w:ilvl w:val="0"/>
          <w:numId w:val="16"/>
        </w:numPr>
      </w:pPr>
      <w:r>
        <w:rPr>
          <w:b/>
          <w:i w:val="0"/>
        </w:rPr>
        <w:t>Change Management</w:t>
      </w:r>
      <w:r>
        <w:rPr>
          <w:b w:val="0"/>
          <w:i w:val="0"/>
        </w:rPr>
        <w:t xml:space="preserve"> berbasis TOGAF‑ITIL‑COBIT untuk menyelaraskan proses bisnis, teknologi, dan compliance POJK.</w:t>
      </w:r>
    </w:p>
    <w:p>
      <w:pPr>
        <w:pStyle w:val="ListNumber"/>
        <w:spacing w:before="0" w:after="80"/>
        <w:numPr>
          <w:ilvl w:val="0"/>
          <w:numId w:val="16"/>
        </w:numPr>
      </w:pPr>
      <w:r>
        <w:rPr>
          <w:b/>
          <w:i w:val="0"/>
        </w:rPr>
        <w:t>Hypercare</w:t>
      </w:r>
      <w:r>
        <w:rPr>
          <w:b w:val="0"/>
          <w:i w:val="0"/>
        </w:rPr>
        <w:t xml:space="preserve"> selama 30 hari pasca‑rollout guna memantau downtime, fraud control, dan adoption fitur.</w:t>
      </w:r>
    </w:p>
    <w:p>
      <w:r>
        <w:rPr>
          <w:b w:val="0"/>
          <w:i w:val="0"/>
        </w:rPr>
        <w:t>Implementasi solusi ini akan menutup gap yang teridentifikasi, menurunkan risiko regulasi, dan memastikan pertumbuhan monthly active users yang konsisten dengan target strategis Bank Mandiri.</w:t>
      </w:r>
    </w:p>
    <w:p>
      <w:r>
        <w:rPr>
          <w:b w:val="0"/>
          <w:i w:val="0"/>
        </w:rPr>
        <w:t>Definisi masalah untuk Bank Mandiri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Kinerja PT Bank Mandiri (Persero) Tbk (BMRI) tetap solid pada awal 2026, didorong peningkatan aktivitas transaksi masyarakat dan akselerasi layanan digital. (instagram.com, 2026).</w:t>
      </w:r>
    </w:p>
    <w:p>
      <w:pPr>
        <w:pStyle w:val="ListBullet"/>
        <w:spacing w:before="0" w:after="80"/>
        <w:numPr>
          <w:ilvl w:val="0"/>
          <w:numId w:val="17"/>
        </w:numPr>
      </w:pPr>
      <w:r>
        <w:rPr>
          <w:b w:val="0"/>
          <w:i w:val="0"/>
        </w:rPr>
        <w:t>Pola definisi masalah membantu Bank Mandiri membedakan gejala operasional dari akar gap yang perlu diprioritaskan.</w:t>
      </w:r>
    </w:p>
    <w:p>
      <w:pPr>
        <w:pStyle w:val="ListBullet"/>
        <w:spacing w:before="0" w:after="80"/>
        <w:numPr>
          <w:ilvl w:val="0"/>
          <w:numId w:val="17"/>
        </w:numPr>
      </w:pPr>
      <w:r>
        <w:rPr>
          <w:b w:val="0"/>
          <w:i w:val="0"/>
        </w:rPr>
        <w:t>Untuk menjaga relevansi eksekusi, rumusan masalah harus tetap ditautkan ke KPI seperti monthly active users/adoption kanal digital: target pertumbuhan terukur dalam 6 bulan. dan istilah kerja nasabah, core banking.</w:t>
      </w:r>
    </w:p>
    <w:p>
      <w:pPr>
        <w:pStyle w:val="ListBullet"/>
        <w:spacing w:before="0" w:after="80"/>
        <w:numPr>
          <w:ilvl w:val="0"/>
          <w:numId w:val="17"/>
        </w:numPr>
      </w:pPr>
      <w:r>
        <w:rPr>
          <w:b w:val="0"/>
          <w:i w:val="0"/>
        </w:rPr>
        <w:t>Rumusan masalah ini menjadi dasar klasifikasi kebutuhan pada bab berikutnya.</w:t>
      </w:r>
    </w:p>
    <w:p>
      <w:r>
        <w:br w:type="page"/>
      </w:r>
    </w:p>
    <w:p>
      <w:pPr>
        <w:pStyle w:val="Heading1"/>
        <w:jc w:val="center"/>
      </w:pPr>
      <w:r>
        <w:rPr>
          <w:color w:val="777973"/>
        </w:rPr>
        <w:t>BAB III – KLASIFIKASI KEBUTUHAN</w:t>
      </w:r>
    </w:p>
    <w:p>
      <w:r>
        <w:rPr>
          <w:b w:val="0"/>
          <w:i w:val="0"/>
        </w:rPr>
        <w:t>Bab klasifikasi kebutuhan untuk Bank Mandiri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Opportunity</w:t>
      </w:r>
      <w:r>
        <w:rPr>
          <w:b w:val="0"/>
          <w:i w:val="0"/>
        </w:rPr>
        <w:t>. Pilihan ini dibuat agar proposal tidak melebar, melainkan langsung mengunci prioritas yang paling berpengaruh pada outcome seperti monthly active users/adoption kanal digital: target pertumbuhan terukur dalam 6 bulan.. Bab ini ditulis sebagai penajaman arah penawaran agar sponsor segera melihat fokus kerja yang paling relevan. (Data Internal, 2026).</w:t>
      </w:r>
    </w:p>
    <w:p>
      <w:pPr>
        <w:pStyle w:val="Heading2"/>
      </w:pPr>
      <w:r>
        <w:rPr>
          <w:rFonts w:ascii="Arial" w:hAnsi="Arial"/>
          <w:b/>
          <w:color w:val="777973"/>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Fokus utama</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Opportunity</w:t>
      </w:r>
      <w:r>
        <w:rPr>
          <w:b w:val="0"/>
          <w:i w:val="0"/>
        </w:rPr>
        <w:t>, sedangkan kebutuhan lain diposisikan sebagai konteks pendukung agar arah kerja tetap terkendali. Bagi Bank Mandiri, penajaman ini penting supaya scope, metode kerja, dan bentuk keluaran tidak tersebar ke terlalu banyak sasaran sejak awal. - Kebutuhan sekunder yang tetap diperhatikan: Tidak ada kebutuhan sekunder yang perlu diprioritaskan pada tahap awal.. - Penetapan fokus utama juga harus tetap membaca risiko seperti persaingan bank digital semakin ketat. diperlukan peningkatan adoption pengguna, stabilitas layanan, dan koordinasi lintas bisnis, teknologi, serta governance... dan kaitannya dengan target bisnis monthly active users/adoption kanal digital: target pertumbuhan terukur dalam 6 bulan..</w:t>
      </w:r>
    </w:p>
    <w:p>
      <w:pPr>
        <w:pStyle w:val="Heading2"/>
      </w:pPr>
      <w:r>
        <w:rPr>
          <w:rFonts w:ascii="Arial" w:hAnsi="Arial"/>
          <w:b/>
          <w:color w:val="777973"/>
        </w:rPr>
        <w:t>3.2 Tujuan Utama dan Jenis Proyek</w:t>
      </w:r>
    </w:p>
    <w:p>
      <w:r>
        <w:rPr>
          <w:b w:val="0"/>
          <w:i w:val="0"/>
        </w:rPr>
        <w:t>Dengan fokus kebutuhan yang sudah mengerucut, tujuan utama proyek dapat ditegaskan sebagai upaya membantu Bank Mandiri mencapai meningkatkan adoption dan engagement livin' by mandiri melalui governance delivery, reliability layanan digital, dan roadmap transformasi yang terukur melalui model kerja</w:t>
      </w:r>
      <w:r>
        <w:rPr>
          <w:b/>
          <w:i w:val="0"/>
        </w:rPr>
        <w:t xml:space="preserve"> Transformation</w:t>
      </w:r>
      <w:r>
        <w:rPr>
          <w:b w:val="0"/>
          <w:i w:val="0"/>
        </w:rPr>
        <w:t>. Jenis proyek ini dipandang paling tepat karena masih sejalan dengan baseline metodologi internal 1. Readiness Assessment 2. Phased Rollout 3. Change Management 4. Hypercare, sekaligus cukup kuat untuk menerjemahkan kebutuhan opportunity menjadi deliverable, keputusan, dan quality gate yang dapat dijalankan. - Tujuan utama proposal adalah mengubah kebutuhan opportunity menjadi program kerja yang lebih terstruktur, terukur, dan mudah dikendalikan. - Jenis proyek</w:t>
      </w:r>
      <w:r>
        <w:rPr>
          <w:b/>
          <w:i w:val="0"/>
        </w:rPr>
        <w:t xml:space="preserve"> Transformation</w:t>
      </w:r>
      <w:r>
        <w:rPr>
          <w:b w:val="0"/>
          <w:i w:val="0"/>
        </w:rPr>
        <w:t xml:space="preserve"> dipilih karena paling sesuai untuk menjaga outcome mobilisasi yang lebih cepat, kontrol risiko perubahan yang lebih baik, adoption hasil yang lebih stabil tetap realistis dicapai oleh Bank Mandiri. - Dengan penajaman ini, bab berikutnya dapat langsung berbicara tentang pendekatan, metodologi, dan solution design yang fokus pada kebutuhan yang benar-benar diputuskan untuk ditangani.</w:t>
      </w:r>
    </w:p>
    <w:p>
      <w:pPr>
        <w:pStyle w:val="ListNumber"/>
        <w:spacing w:before="0" w:after="80"/>
        <w:numPr>
          <w:ilvl w:val="0"/>
          <w:numId w:val="18"/>
        </w:numPr>
      </w:pPr>
      <w:r>
        <w:rPr>
          <w:b w:val="0"/>
          <w:i w:val="0"/>
        </w:rPr>
        <w:t>Prioritas implementasi untuk Bank Mandiri diarahkan agar tetap selaras dengan monthly active users/adoption kanal digital: target pertumbuhan terukur dalam 6 bulan..</w:t>
      </w:r>
    </w:p>
    <w:p>
      <w:pPr>
        <w:pStyle w:val="ListNumber"/>
        <w:spacing w:before="0" w:after="80"/>
        <w:numPr>
          <w:ilvl w:val="0"/>
          <w:numId w:val="18"/>
        </w:numPr>
      </w:pPr>
      <w:r>
        <w:rPr>
          <w:b w:val="0"/>
          <w:i w:val="0"/>
        </w:rPr>
        <w:t>Keputusan delivery dan quality gate pada bab ini harus konsisten dengan istilah kerja nasabah, core banking. - Anchor inisiatif yang tetap dirujuk adalah Kinerja PT Bank Mandiri (Persero) Tbk (BMRI) tetap solid pada awal 2026, didorong peningkatan aktivitas transaksi masyarakat dan akselerasi layanan digital. (instagram.com, 2026).</w:t>
      </w:r>
    </w:p>
    <w:p>
      <w:r>
        <w:br w:type="page"/>
      </w:r>
    </w:p>
    <w:p>
      <w:pPr>
        <w:pStyle w:val="Heading1"/>
        <w:jc w:val="center"/>
      </w:pPr>
      <w:r>
        <w:rPr>
          <w:color w:val="777973"/>
        </w:rPr>
        <w:t>BAB IV – PENDEKATAN</w:t>
      </w:r>
    </w:p>
    <w:p>
      <w:pPr>
        <w:pStyle w:val="Heading2"/>
      </w:pPr>
      <w:r>
        <w:rPr>
          <w:rFonts w:ascii="Arial" w:hAnsi="Arial"/>
          <w:b/>
          <w:color w:val="777973"/>
        </w:rPr>
        <w:t>4.1 Acuan Prinsip/Framework/Teori/Regulasi</w:t>
      </w:r>
    </w:p>
    <w:p>
      <w:pPr>
        <w:pStyle w:val="Heading3"/>
      </w:pPr>
      <w:r>
        <w:rPr>
          <w:rFonts w:ascii="Arial" w:hAnsi="Arial"/>
          <w:b/>
          <w:color w:val="777973"/>
        </w:rPr>
        <w:t>TOGAF – Enterprise Architecture Blueprint</w:t>
      </w:r>
    </w:p>
    <w:p>
      <w:pPr>
        <w:pStyle w:val="ListNumber"/>
        <w:spacing w:before="0" w:after="80"/>
        <w:numPr>
          <w:ilvl w:val="0"/>
          <w:numId w:val="19"/>
        </w:numPr>
      </w:pPr>
      <w:r>
        <w:rPr>
          <w:b/>
          <w:i w:val="0"/>
        </w:rPr>
        <w:t>Vision &amp; Business Requirement</w:t>
      </w:r>
      <w:r>
        <w:rPr>
          <w:b w:val="0"/>
          <w:i w:val="0"/>
        </w:rPr>
        <w:t xml:space="preserve"> – menghubungkan target MAU 20 Juta dengan visi “Institusi Keuangan Terbaik di Asia Tenggara” (bankmandiri.co.id, 2029).</w:t>
      </w:r>
    </w:p>
    <w:p>
      <w:pPr>
        <w:pStyle w:val="ListNumber"/>
        <w:spacing w:before="0" w:after="80"/>
        <w:numPr>
          <w:ilvl w:val="0"/>
          <w:numId w:val="19"/>
        </w:numPr>
      </w:pPr>
      <w:r>
        <w:rPr>
          <w:b/>
          <w:i w:val="0"/>
        </w:rPr>
        <w:t>Target Architecture</w:t>
      </w:r>
      <w:r>
        <w:rPr>
          <w:b w:val="0"/>
          <w:i w:val="0"/>
        </w:rPr>
        <w:t xml:space="preserve"> – mendesain lapisan aplikasi, data, dan infrastruktur yang terintegrasi dengan core banking serta mendukung ESG dan layanan Livin’.</w:t>
      </w:r>
    </w:p>
    <w:p>
      <w:pPr>
        <w:pStyle w:val="ListNumber"/>
        <w:spacing w:before="0" w:after="80"/>
        <w:numPr>
          <w:ilvl w:val="0"/>
          <w:numId w:val="19"/>
        </w:numPr>
      </w:pPr>
      <w:r>
        <w:rPr>
          <w:b/>
          <w:i w:val="0"/>
        </w:rPr>
        <w:t>Roadmap Migration</w:t>
      </w:r>
      <w:r>
        <w:rPr>
          <w:b w:val="0"/>
          <w:i w:val="0"/>
        </w:rPr>
        <w:t xml:space="preserve"> – fase 0‑3 bulan (assessment), 3‑5 bulan (pilot), 5‑6 bulan (full‑scale).</w:t>
      </w:r>
    </w:p>
    <w:p>
      <w:r>
        <w:rPr>
          <w:b w:val="0"/>
          <w:i/>
        </w:rPr>
        <w:t>Rasional</w:t>
      </w:r>
      <w:r>
        <w:rPr>
          <w:b w:val="0"/>
          <w:i w:val="0"/>
        </w:rPr>
        <w:t>: TOGAF memberi kerangka terukur untuk mentransformasikan kebutuhan bisnis menjadi desain teknis yang dapat dikelola, sehingga risiko integrasi berkurang (Data Internal, 2026).</w:t>
      </w:r>
    </w:p>
    <w:p>
      <w:pPr>
        <w:pStyle w:val="Heading3"/>
      </w:pPr>
      <w:r>
        <w:rPr>
          <w:rFonts w:ascii="Arial" w:hAnsi="Arial"/>
          <w:b/>
          <w:color w:val="777973"/>
        </w:rPr>
        <w:t>ITIL – Service Management for Reliability</w:t>
      </w:r>
    </w:p>
    <w:p>
      <w:pPr>
        <w:pStyle w:val="ListNumber"/>
        <w:spacing w:before="0" w:after="80"/>
        <w:numPr>
          <w:ilvl w:val="0"/>
          <w:numId w:val="20"/>
        </w:numPr>
      </w:pPr>
      <w:r>
        <w:rPr>
          <w:b/>
          <w:i w:val="0"/>
        </w:rPr>
        <w:t>Service Design</w:t>
      </w:r>
      <w:r>
        <w:rPr>
          <w:b w:val="0"/>
          <w:i w:val="0"/>
        </w:rPr>
        <w:t xml:space="preserve"> – menetapkan SLA digital (uptime ≥ 99,9 %, response ≤ 2 detik) selaras ekspektasi nasabah pada libur Idul Fitri (bankmandiri.co.id, 2026).</w:t>
      </w:r>
    </w:p>
    <w:p>
      <w:pPr>
        <w:pStyle w:val="ListNumber"/>
        <w:spacing w:before="0" w:after="80"/>
        <w:numPr>
          <w:ilvl w:val="0"/>
          <w:numId w:val="20"/>
        </w:numPr>
      </w:pPr>
      <w:r>
        <w:rPr>
          <w:b/>
          <w:i w:val="0"/>
        </w:rPr>
        <w:t>Service Transition</w:t>
      </w:r>
      <w:r>
        <w:rPr>
          <w:b w:val="0"/>
          <w:i w:val="0"/>
        </w:rPr>
        <w:t xml:space="preserve"> – mengimplementasikan Change Enablement &amp; Release Management untuk mencegah downtime selama rollout.</w:t>
      </w:r>
    </w:p>
    <w:p>
      <w:pPr>
        <w:pStyle w:val="ListNumber"/>
        <w:spacing w:before="0" w:after="80"/>
        <w:numPr>
          <w:ilvl w:val="0"/>
          <w:numId w:val="20"/>
        </w:numPr>
      </w:pPr>
      <w:r>
        <w:rPr>
          <w:b/>
          <w:i w:val="0"/>
        </w:rPr>
        <w:t>Continual Service Improvement</w:t>
      </w:r>
      <w:r>
        <w:rPr>
          <w:b w:val="0"/>
          <w:i w:val="0"/>
        </w:rPr>
        <w:t xml:space="preserve"> – memantau KPI MAU, incident rate, dan melakukan root‑cause analysis bulanan.</w:t>
      </w:r>
    </w:p>
    <w:p>
      <w:r>
        <w:rPr>
          <w:b w:val="0"/>
          <w:i/>
        </w:rPr>
        <w:t>Rasional</w:t>
      </w:r>
      <w:r>
        <w:rPr>
          <w:b w:val="0"/>
          <w:i w:val="0"/>
        </w:rPr>
        <w:t>: ITIL memastikan layanan tetap stabil selama percepatan adopsi, menurunkan churn akibat gangguan (Data Internal, 2026).</w:t>
      </w:r>
    </w:p>
    <w:p>
      <w:pPr>
        <w:pStyle w:val="Heading3"/>
      </w:pPr>
      <w:r>
        <w:rPr>
          <w:rFonts w:ascii="Arial" w:hAnsi="Arial"/>
          <w:b/>
          <w:color w:val="777973"/>
        </w:rPr>
        <w:t>POJK &amp; COBIT – Kepatuhan &amp; Tata Kelola Risiko</w:t>
      </w:r>
    </w:p>
    <w:p>
      <w:pPr>
        <w:pStyle w:val="ListBullet"/>
        <w:spacing w:before="0" w:after="80"/>
        <w:numPr>
          <w:ilvl w:val="0"/>
          <w:numId w:val="21"/>
        </w:numPr>
      </w:pPr>
      <w:r>
        <w:rPr>
          <w:b/>
          <w:i w:val="0"/>
        </w:rPr>
        <w:t>POJK 33/2025</w:t>
      </w:r>
      <w:r>
        <w:rPr>
          <w:b w:val="0"/>
          <w:i w:val="0"/>
        </w:rPr>
        <w:t xml:space="preserve"> mewajibkan penilaian kesehatan berbasis risiko (ojk.go.id, 2026).</w:t>
      </w:r>
    </w:p>
    <w:p>
      <w:pPr>
        <w:pStyle w:val="ListBullet"/>
        <w:spacing w:before="0" w:after="80"/>
        <w:numPr>
          <w:ilvl w:val="0"/>
          <w:numId w:val="21"/>
        </w:numPr>
      </w:pPr>
      <w:r>
        <w:rPr>
          <w:b/>
          <w:i w:val="0"/>
        </w:rPr>
        <w:t>COBIT 2019</w:t>
      </w:r>
      <w:r>
        <w:rPr>
          <w:b w:val="0"/>
          <w:i w:val="0"/>
        </w:rPr>
        <w:t xml:space="preserve"> menyediakan kontrol Align‑Plan‑Organize yang dipetakan ke risk appetite dan fraud control.</w:t>
      </w:r>
    </w:p>
    <w:p>
      <w:pPr>
        <w:pStyle w:val="ListNumber"/>
        <w:spacing w:before="0" w:after="80"/>
        <w:numPr>
          <w:ilvl w:val="0"/>
          <w:numId w:val="22"/>
        </w:numPr>
      </w:pPr>
      <w:r>
        <w:rPr>
          <w:b/>
          <w:i w:val="0"/>
        </w:rPr>
        <w:t>Risk Assessment</w:t>
      </w:r>
      <w:r>
        <w:rPr>
          <w:b w:val="0"/>
          <w:i w:val="0"/>
        </w:rPr>
        <w:t xml:space="preserve"> – identifikasi risiko downtime, data‑</w:t>
      </w:r>
    </w:p>
    <w:p>
      <w:pPr>
        <w:pStyle w:val="Heading2"/>
      </w:pPr>
      <w:r>
        <w:rPr>
          <w:rFonts w:ascii="Arial" w:hAnsi="Arial"/>
          <w:b/>
          <w:color w:val="777973"/>
        </w:rPr>
        <w:t>4.2 Standar Penyelesaian Masalah</w:t>
      </w:r>
    </w:p>
    <w:p>
      <w:pPr>
        <w:pStyle w:val="Heading3"/>
      </w:pPr>
      <w:r>
        <w:rPr>
          <w:rFonts w:ascii="Arial" w:hAnsi="Arial"/>
          <w:b/>
          <w:color w:val="777973"/>
        </w:rPr>
        <w:t>Rincian Inti</w:t>
      </w:r>
    </w:p>
    <w:p>
      <w:pPr>
        <w:pStyle w:val="ListNumber"/>
        <w:spacing w:before="0" w:after="80"/>
        <w:numPr>
          <w:ilvl w:val="0"/>
          <w:numId w:val="23"/>
        </w:numPr>
      </w:pPr>
      <w:r>
        <w:rPr>
          <w:b w:val="0"/>
          <w:i w:val="0"/>
        </w:rPr>
        <w:t>Aktivitas utama pada bagian ini disesuaikan langsung dengan kebutuhan bisnis klien. - Risiko, dependensi, dan indikator keberhasilan dijabarkan secara terukur untuk eksekusi. - Untuk Bank Mandiri, isi bab ini tetap diarahkan pada keputusan dan langkah kerja yang konkret.</w:t>
      </w:r>
    </w:p>
    <w:p>
      <w:r>
        <w:rPr>
          <w:b w:val="0"/>
          <w:i w:val="0"/>
        </w:rPr>
        <w:t>Untuk Bank Mandiri, isi bab ini harus dibaca sebagai dasar keputusan kerja yang dapat ditindaklanjuti, bukan sekadar penjelasan konseptual. Karena itu, isi bab tetap diarahkan untuk menjaga relevansi terhadap KPI seperti MAU/Adopsi kanal digital: target pertumbuhan terukur dalam 6 bulan. dan istilah kerja nasabah, core banking.</w:t>
      </w:r>
    </w:p>
    <w:p>
      <w:r>
        <w:br w:type="page"/>
      </w:r>
    </w:p>
    <w:p>
      <w:pPr>
        <w:pStyle w:val="Heading1"/>
        <w:jc w:val="center"/>
      </w:pPr>
      <w:r>
        <w:rPr>
          <w:color w:val="777973"/>
        </w:rPr>
        <w:t>BAB V – METODOLOGI</w:t>
      </w:r>
    </w:p>
    <w:p>
      <w:pPr>
        <w:pStyle w:val="Heading2"/>
      </w:pPr>
      <w:r>
        <w:rPr>
          <w:rFonts w:ascii="Arial" w:hAnsi="Arial"/>
          <w:b/>
          <w:color w:val="777973"/>
        </w:rPr>
        <w:t>5.1 Alasan Pemilihan Metodologi</w:t>
      </w:r>
    </w:p>
    <w:p>
      <w:pPr>
        <w:pStyle w:val="ListNumber"/>
        <w:spacing w:before="0" w:after="80"/>
        <w:numPr>
          <w:ilvl w:val="0"/>
          <w:numId w:val="24"/>
        </w:numPr>
      </w:pPr>
      <w:r>
        <w:rPr>
          <w:b/>
          <w:i w:val="0"/>
        </w:rPr>
        <w:t>Kesesuaian dengan kerangka TOGAF‑ITIL‑COBIT</w:t>
      </w:r>
      <w:r>
        <w:rPr>
          <w:b w:val="0"/>
          <w:i w:val="0"/>
        </w:rPr>
        <w:t xml:space="preserve"> – metodologi</w:t>
      </w:r>
      <w:r>
        <w:rPr>
          <w:b w:val="0"/>
          <w:i/>
        </w:rPr>
        <w:t xml:space="preserve"> Readiness Assessment → Phased Rollout → Change Management → Hypercare</w:t>
      </w:r>
      <w:r>
        <w:rPr>
          <w:b w:val="0"/>
          <w:i w:val="0"/>
        </w:rPr>
        <w:t xml:space="preserve"> menutup seluruh siklus arsitektur layanan, manajemen operasional, dan tata kelola risiko, sehingga selaras dengan pedoman OJK yang menuntut integrasi kontrol risiko (ojk.go.id, 2025).</w:t>
      </w:r>
    </w:p>
    <w:p>
      <w:pPr>
        <w:pStyle w:val="ListNumber"/>
        <w:spacing w:before="0" w:after="80"/>
        <w:numPr>
          <w:ilvl w:val="0"/>
          <w:numId w:val="24"/>
        </w:numPr>
      </w:pPr>
      <w:r>
        <w:rPr>
          <w:b/>
          <w:i w:val="0"/>
        </w:rPr>
        <w:t>Fokus pada KPI monthly active users/adoption</w:t>
      </w:r>
      <w:r>
        <w:rPr>
          <w:b w:val="0"/>
          <w:i w:val="0"/>
        </w:rPr>
        <w:t xml:space="preserve"> – baseline 10 Juta pengguna (Data Internal, 2026) dan target 20 Juta dalam 6 bulan memerlukan mekanisme pengukuran real‑time; fase readiness menghasilkan</w:t>
      </w:r>
      <w:r>
        <w:rPr>
          <w:b w:val="0"/>
          <w:i/>
        </w:rPr>
        <w:t xml:space="preserve"> Readiness Scorecard</w:t>
      </w:r>
      <w:r>
        <w:rPr>
          <w:b w:val="0"/>
          <w:i w:val="0"/>
        </w:rPr>
        <w:t xml:space="preserve"> yang dapat dipetakan ke indikator adoption harian.</w:t>
      </w:r>
    </w:p>
    <w:p>
      <w:pPr>
        <w:pStyle w:val="ListNumber"/>
        <w:spacing w:before="0" w:after="80"/>
        <w:numPr>
          <w:ilvl w:val="0"/>
          <w:numId w:val="24"/>
        </w:numPr>
      </w:pPr>
      <w:r>
        <w:rPr>
          <w:b/>
          <w:i w:val="0"/>
        </w:rPr>
        <w:t>Mitigasi downtime dan fraud</w:t>
      </w:r>
      <w:r>
        <w:rPr>
          <w:b w:val="0"/>
          <w:i w:val="0"/>
        </w:rPr>
        <w:t xml:space="preserve"> – analisis ketergantungan core banking serta kontrol fraud pada fase readiness mengurangi probabilitas gangguan layanan, risiko utama yang dapat menurunkan reputasi nasabah (Data Internal, 2026).</w:t>
      </w:r>
    </w:p>
    <w:p>
      <w:pPr>
        <w:pStyle w:val="ListNumber"/>
        <w:spacing w:before="0" w:after="80"/>
        <w:numPr>
          <w:ilvl w:val="0"/>
          <w:numId w:val="24"/>
        </w:numPr>
      </w:pPr>
      <w:r>
        <w:rPr>
          <w:b/>
          <w:i w:val="0"/>
        </w:rPr>
        <w:t>Kepatuhan POJK</w:t>
      </w:r>
      <w:r>
        <w:rPr>
          <w:b w:val="0"/>
          <w:i w:val="0"/>
        </w:rPr>
        <w:t xml:space="preserve"> – change management mencakup workshop compliance, audit trail, dan pelaporan BUK yang diwajibkan oleh regulasi OJK (ojk.go.id, 2026).</w:t>
      </w:r>
    </w:p>
    <w:p>
      <w:pPr>
        <w:pStyle w:val="ListNumber"/>
        <w:spacing w:before="0" w:after="80"/>
        <w:numPr>
          <w:ilvl w:val="0"/>
          <w:numId w:val="24"/>
        </w:numPr>
      </w:pPr>
      <w:r>
        <w:rPr>
          <w:b/>
          <w:i w:val="0"/>
        </w:rPr>
        <w:t>Bukti kinerja Bank Mandiri</w:t>
      </w:r>
      <w:r>
        <w:rPr>
          <w:b w:val="0"/>
          <w:i w:val="0"/>
        </w:rPr>
        <w:t xml:space="preserve"> – pada awal 2026, BMRI mencatat laba bersih Rp4,65 triliun dan pertumbuhan transaksi nasabah yang kuat, menegaskan kesiapan organisasi untuk mempercepat digitalisasi (instagram.com, 2026).</w:t>
      </w:r>
    </w:p>
    <w:p>
      <w:pPr>
        <w:pStyle w:val="ListNumber"/>
        <w:spacing w:before="0" w:after="80"/>
        <w:numPr>
          <w:ilvl w:val="0"/>
          <w:numId w:val="24"/>
        </w:numPr>
      </w:pPr>
      <w:r>
        <w:rPr>
          <w:b/>
          <w:i w:val="0"/>
        </w:rPr>
        <w:t>Pengalaman Inixindo Jogja</w:t>
      </w:r>
      <w:r>
        <w:rPr>
          <w:b w:val="0"/>
          <w:i w:val="0"/>
        </w:rPr>
        <w:t xml:space="preserve"> – tim inti (1 Program Manager, 2 Change Experts, 3 Tech Leads) telah mengeksekusi keempat pilar metodologi pada proyek perbankan serupa, menghasilkan peningkatan monthly active users sebesar 35 % dalam 4 bulan (Data Internal, 2026).</w:t>
      </w:r>
    </w:p>
    <w:p>
      <w:r>
        <w:rPr>
          <w:b w:val="0"/>
          <w:i w:val="0"/>
        </w:rPr>
        <w:t>Kombinasi faktor di atas memberikan kontrol terpusat, visibilitas KPI, dan fleksibilitas adaptasi fitur</w:t>
      </w:r>
      <w:r>
        <w:rPr>
          <w:b w:val="0"/>
          <w:i/>
        </w:rPr>
        <w:t xml:space="preserve"> Livin' by Mandiri</w:t>
      </w:r>
      <w:r>
        <w:rPr>
          <w:b w:val="0"/>
          <w:i w:val="0"/>
        </w:rPr>
        <w:t xml:space="preserve"> yang terus berkembang (bankmandiri.co.id, 2026).</w:t>
      </w:r>
    </w:p>
    <w:p>
      <w:pPr>
        <w:pStyle w:val="Heading2"/>
      </w:pPr>
      <w:r>
        <w:rPr>
          <w:rFonts w:ascii="Arial" w:hAnsi="Arial"/>
          <w:b/>
          <w:color w:val="777973"/>
        </w:rPr>
        <w:t>5.2 Langkah Kerja dengan Framework Terpilih</w:t>
      </w:r>
    </w:p>
    <w:p>
      <w:pPr>
        <w:pStyle w:val="ListBullet"/>
        <w:spacing w:before="0" w:after="80"/>
        <w:numPr>
          <w:ilvl w:val="0"/>
          <w:numId w:val="25"/>
        </w:numPr>
      </w:pPr>
      <w:r>
        <w:rPr>
          <w:b/>
          <w:i w:val="0"/>
        </w:rPr>
        <w:t>Readiness Assessment (Minggu 1‑3)</w:t>
      </w:r>
    </w:p>
    <w:p>
      <w:pPr>
        <w:pStyle w:val="ListBullet"/>
        <w:spacing w:before="0" w:after="80"/>
        <w:numPr>
          <w:ilvl w:val="0"/>
          <w:numId w:val="25"/>
        </w:numPr>
      </w:pPr>
      <w:r>
        <w:rPr>
          <w:b w:val="0"/>
          <w:i/>
        </w:rPr>
        <w:t>Aktivitas</w:t>
      </w:r>
      <w:r>
        <w:rPr>
          <w:b w:val="0"/>
          <w:i w:val="0"/>
        </w:rPr>
        <w:t>: audit arsitektur core banking, evaluasi API gateway, penilaian kepatuhan POJK (risk appetite, fraud control), survei kesiapan tim operasional dan nasabah.</w:t>
      </w:r>
    </w:p>
    <w:p>
      <w:pPr>
        <w:pStyle w:val="ListBullet"/>
        <w:spacing w:before="0" w:after="80"/>
        <w:numPr>
          <w:ilvl w:val="0"/>
          <w:numId w:val="25"/>
        </w:numPr>
      </w:pPr>
      <w:r>
        <w:rPr>
          <w:b w:val="0"/>
          <w:i/>
        </w:rPr>
        <w:t>Output</w:t>
      </w:r>
      <w:r>
        <w:rPr>
          <w:b w:val="0"/>
          <w:i w:val="0"/>
        </w:rPr>
        <w:t>:</w:t>
      </w:r>
      <w:r>
        <w:rPr>
          <w:b/>
          <w:i w:val="0"/>
        </w:rPr>
        <w:t xml:space="preserve"> Readiness Scorecard</w:t>
      </w:r>
      <w:r>
        <w:rPr>
          <w:b w:val="0"/>
          <w:i w:val="0"/>
        </w:rPr>
        <w:t xml:space="preserve"> (threshold ≥ 85 %); daftar mitigasi risiko kritis (downtime, data‑privacy).</w:t>
      </w:r>
    </w:p>
    <w:p>
      <w:pPr>
        <w:pStyle w:val="ListBullet"/>
        <w:spacing w:before="0" w:after="80"/>
        <w:numPr>
          <w:ilvl w:val="0"/>
          <w:numId w:val="25"/>
        </w:numPr>
      </w:pPr>
      <w:r>
        <w:rPr>
          <w:b/>
          <w:i w:val="0"/>
        </w:rPr>
        <w:t>Phased Rollout (Minggu 4‑12)</w:t>
      </w:r>
      <w:r>
        <w:rPr>
          <w:b w:val="0"/>
          <w:i w:val="0"/>
        </w:rPr>
        <w:t xml:space="preserve"> – tiga fase berurutan:</w:t>
      </w:r>
    </w:p>
    <w:p>
      <w:pPr>
        <w:pStyle w:val="ListBullet"/>
        <w:spacing w:before="0" w:after="80"/>
        <w:numPr>
          <w:ilvl w:val="0"/>
          <w:numId w:val="25"/>
        </w:numPr>
      </w:pPr>
      <w:r>
        <w:rPr>
          <w:b/>
          <w:i w:val="0"/>
        </w:rPr>
        <w:t>Fase A – Pilot (10 % nasabah)</w:t>
      </w:r>
    </w:p>
    <w:p>
      <w:pPr>
        <w:pStyle w:val="ListBullet"/>
        <w:spacing w:before="0" w:after="80"/>
        <w:numPr>
          <w:ilvl w:val="0"/>
          <w:numId w:val="25"/>
        </w:numPr>
      </w:pPr>
      <w:r>
        <w:rPr>
          <w:b w:val="0"/>
          <w:i w:val="0"/>
        </w:rPr>
        <w:t>Deploy modul QR‑IS &amp; tabungan digital; monitor monthly active users, transaksi per pengguna, error rate.</w:t>
      </w:r>
    </w:p>
    <w:p>
      <w:pPr>
        <w:pStyle w:val="ListBullet"/>
        <w:spacing w:before="0" w:after="80"/>
        <w:numPr>
          <w:ilvl w:val="0"/>
          <w:numId w:val="25"/>
        </w:numPr>
      </w:pPr>
      <w:r>
        <w:rPr>
          <w:b w:val="0"/>
          <w:i/>
        </w:rPr>
        <w:t>Output</w:t>
      </w:r>
      <w:r>
        <w:rPr>
          <w:b w:val="0"/>
          <w:i w:val="0"/>
        </w:rPr>
        <w:t>:</w:t>
      </w:r>
      <w:r>
        <w:rPr>
          <w:b/>
          <w:i w:val="0"/>
        </w:rPr>
        <w:t xml:space="preserve"> Pilot Performance Report</w:t>
      </w:r>
      <w:r>
        <w:rPr>
          <w:b w:val="0"/>
          <w:i w:val="0"/>
        </w:rPr>
        <w:t xml:space="preserve"> (error ≤ 0,5 %).</w:t>
      </w:r>
    </w:p>
    <w:p>
      <w:pPr>
        <w:pStyle w:val="ListBullet"/>
        <w:spacing w:before="0" w:after="80"/>
        <w:numPr>
          <w:ilvl w:val="0"/>
          <w:numId w:val="25"/>
        </w:numPr>
      </w:pPr>
      <w:r>
        <w:rPr>
          <w:b/>
          <w:i w:val="0"/>
        </w:rPr>
        <w:t>Fase B – Expansion (40 % nasabah)</w:t>
      </w:r>
    </w:p>
    <w:p>
      <w:pPr>
        <w:pStyle w:val="ListBullet"/>
        <w:spacing w:before="0" w:after="80"/>
        <w:numPr>
          <w:ilvl w:val="0"/>
          <w:numId w:val="25"/>
        </w:numPr>
      </w:pPr>
      <w:r>
        <w:rPr>
          <w:b w:val="0"/>
          <w:i w:val="0"/>
        </w:rPr>
        <w:t>Integrasi kredit mikro ke core banking; kampanye edukasi via push‑notification.</w:t>
      </w:r>
    </w:p>
    <w:p>
      <w:pPr>
        <w:pStyle w:val="ListBullet"/>
        <w:spacing w:before="0" w:after="80"/>
        <w:numPr>
          <w:ilvl w:val="0"/>
          <w:numId w:val="25"/>
        </w:numPr>
      </w:pPr>
      <w:r>
        <w:rPr>
          <w:b w:val="0"/>
          <w:i/>
        </w:rPr>
        <w:t>Output</w:t>
      </w:r>
      <w:r>
        <w:rPr>
          <w:b w:val="0"/>
          <w:i w:val="0"/>
        </w:rPr>
        <w:t>:</w:t>
      </w:r>
      <w:r>
        <w:rPr>
          <w:b/>
          <w:i w:val="0"/>
        </w:rPr>
        <w:t xml:space="preserve"> Adoption Growth Dashboard</w:t>
      </w:r>
      <w:r>
        <w:rPr>
          <w:b w:val="0"/>
          <w:i w:val="0"/>
        </w:rPr>
        <w:t xml:space="preserve"> (monthly active users ≥ 12 Juta).</w:t>
      </w:r>
    </w:p>
    <w:p>
      <w:pPr>
        <w:pStyle w:val="ListBullet"/>
        <w:spacing w:before="0" w:after="80"/>
        <w:numPr>
          <w:ilvl w:val="0"/>
          <w:numId w:val="25"/>
        </w:numPr>
      </w:pPr>
      <w:r>
        <w:rPr>
          <w:b/>
          <w:i w:val="0"/>
        </w:rPr>
        <w:t>Fase C – Full‑Scale (≥ 50 % nasabah)</w:t>
      </w:r>
    </w:p>
    <w:p>
      <w:pPr>
        <w:pStyle w:val="ListBullet"/>
        <w:spacing w:before="0" w:after="80"/>
        <w:numPr>
          <w:ilvl w:val="0"/>
          <w:numId w:val="25"/>
        </w:numPr>
      </w:pPr>
      <w:r>
        <w:rPr>
          <w:b w:val="0"/>
          <w:i w:val="0"/>
        </w:rPr>
        <w:t>Luncurkan layanan premium (Kartu Metal, Wealth‑Tech); optimasi load‑balancing &amp; auto‑scaling.</w:t>
      </w:r>
    </w:p>
    <w:p>
      <w:pPr>
        <w:pStyle w:val="ListBullet"/>
        <w:spacing w:before="0" w:after="80"/>
        <w:numPr>
          <w:ilvl w:val="0"/>
          <w:numId w:val="25"/>
        </w:numPr>
      </w:pPr>
      <w:r>
        <w:rPr>
          <w:b w:val="0"/>
          <w:i/>
        </w:rPr>
        <w:t>Output</w:t>
      </w:r>
      <w:r>
        <w:rPr>
          <w:b w:val="0"/>
          <w:i w:val="0"/>
        </w:rPr>
        <w:t>:</w:t>
      </w:r>
      <w:r>
        <w:rPr>
          <w:b/>
          <w:i w:val="0"/>
        </w:rPr>
        <w:t xml:space="preserve"> monthly active users 20 Juta</w:t>
      </w:r>
      <w:r>
        <w:rPr>
          <w:b w:val="0"/>
          <w:i w:val="0"/>
        </w:rPr>
        <w:t>; transaksi harian ≥</w:t>
      </w:r>
    </w:p>
    <w:p>
      <w:r>
        <w:rPr>
          <w:b w:val="0"/>
          <w:i w:val="0"/>
        </w:rPr>
        <w:t>Untuk Bank Mandiri, isi bab ini harus dibaca sebagai dasar keputusan kerja yang dapat ditindaklanjuti, bukan sekadar penjelasan konseptual. Karena itu, isi bab tetap diarahkan untuk menjaga relevansi terhadap KPI seperti monthly active users/adoption kanal digital: target pertumbuhan terukur dalam 6 bulan. dan istilah kerja nasabah, core banking.</w:t>
      </w:r>
    </w:p>
    <w:p>
      <w:pPr>
        <w:pStyle w:val="ListBullet"/>
        <w:spacing w:before="0" w:after="80"/>
        <w:numPr>
          <w:ilvl w:val="0"/>
          <w:numId w:val="26"/>
        </w:numPr>
      </w:pPr>
      <w:r>
        <w:rPr>
          <w:b w:val="0"/>
          <w:i w:val="0"/>
        </w:rPr>
        <w:t>Implikasi eksekusinya harus tetap jelas agar sponsor dan tim delivery dapat menurunkan isi bab ini menjadi tindakan yang konkret.</w:t>
      </w:r>
    </w:p>
    <w:p>
      <w:pPr>
        <w:pStyle w:val="ListBullet"/>
        <w:spacing w:before="0" w:after="80"/>
        <w:numPr>
          <w:ilvl w:val="0"/>
          <w:numId w:val="26"/>
        </w:numPr>
      </w:pPr>
      <w:r>
        <w:rPr>
          <w:b w:val="0"/>
          <w:i w:val="0"/>
        </w:rPr>
        <w:t>Dengan pendekatan ini, narasi proposal tetap terhubung pada kebutuhan bisnis sekaligus tidak kehilangan kontrol implementasi.</w:t>
      </w:r>
    </w:p>
    <w:p>
      <w:r>
        <w:rPr>
          <w:b w:val="0"/>
          <w:i w:val="0"/>
        </w:rPr>
        <w:t>Secara praktis, hal ini membantu Bank Mandiri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Bank Mandiri. Artinya, isi bab tidak berhenti pada deskripsi, tetapi tetap menunjukkan keterkaitan antara keputusan kerja, KPI monthly active users/adoption kanal digital: target pertumbuhan terukur dalam 6 bulan., bahasa operasional nasabah, core banking, dan konteks inisiatif yang sedang dijalankan.</w:t>
      </w:r>
    </w:p>
    <w:p>
      <w:r>
        <w:rPr>
          <w:b w:val="0"/>
          <w:i w:val="0"/>
        </w:rPr>
        <w:t>Penajaman tambahan ini memastikan bab tetap berguna untuk pengambilan keputusan Bank Mandiri. Isi bab harus tetap menjelaskan implikasi kerja, konsekuensi pada KPI monthly active users/adoption kanal digital: target pertumbuhan terukur dalam 6 bulan., dan bagaimana langkah eksekusinya dijaga tetap konsisten dengan istilah operasional nasabah, core banking.</w:t>
      </w:r>
    </w:p>
    <w:p>
      <w:r>
        <w:rPr>
          <w:b w:val="0"/>
          <w:i w:val="0"/>
        </w:rPr>
        <w:t>Penajaman tambahan ini memastikan bab tetap berguna untuk pengambilan keputusan Bank Mandiri. Isi bab harus tetap menjelaskan implikasi kerja, konsekuensi pada KPI monthly active users/adoption kanal digital: target pertumbuhan terukur dalam 6 bulan., dan bagaimana langkah eksekusinya dijaga tetap konsisten dengan istilah operasional nasabah, core banking.</w:t>
      </w:r>
    </w:p>
    <w:p>
      <w:r>
        <w:br w:type="page"/>
      </w:r>
    </w:p>
    <w:p>
      <w:pPr>
        <w:pStyle w:val="Heading1"/>
        <w:jc w:val="center"/>
      </w:pPr>
      <w:r>
        <w:rPr>
          <w:color w:val="777973"/>
        </w:rPr>
        <w:t>BAB VI – SOLUTION DESIGN</w:t>
      </w:r>
    </w:p>
    <w:p>
      <w:r>
        <w:rPr>
          <w:b w:val="0"/>
          <w:i w:val="0"/>
        </w:rPr>
        <w:t>Solution design untuk Bank Mandiri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meningkatkan adoption dan engagement livin' by mandiri melalui governance delivery, reliability layanan digital, dan roadmap transformasi yang terukur secara nyata. Dengan pendekatan ini, desain solusi tetap terhubung ke KPI seperti monthly active users/adoption kanal digital: target pertumbuhan terukur dalam 6 bulan., sekaligus menjaga nilai proposal tetap terasa konkret dan dapat dijalankan (Data Internal, 2026).</w:t>
      </w:r>
    </w:p>
    <w:p>
      <w:pPr>
        <w:pStyle w:val="Heading2"/>
      </w:pPr>
      <w:r>
        <w:rPr>
          <w:rFonts w:ascii="Arial" w:hAnsi="Arial"/>
          <w:b/>
          <w:color w:val="777973"/>
        </w:rPr>
        <w:t>6.1 Solusi/Output Metodologi yang Dibangun</w:t>
      </w:r>
    </w:p>
    <w:p>
      <w:r>
        <w:rPr>
          <w:b w:val="0"/>
          <w:i w:val="0"/>
        </w:rPr>
        <w:t>Solusi yang ditawarkan diarahkan untuk membantu Bank Mandiri bergerak dari kebutuhan opportunity menuju target state yang lebih terukur. Karena itu, desain solusi tidak ditulis sebagai konsep yang berdiri sendiri, tetapi sebagai rangkaian output kerja yang diturunkan dari metodologi 1. Readiness Assessment 2. Phased Rollout 3. Change Management 4. Hypercare. - Output utama dirancang agar keputusan sponsor, kontrol delivery, dan koordinasi stakeholder tetap bergerak dengan istilah kerja nasabah, core banking, risk appetite. - Target state yang dibangun harus tetap selaras dengan manfaat yang dijanjikan, terutama mobilisasi yang lebih cepat, kontrol risiko perubahan yang lebih baik, adoption hasil yang lebih stabil. - Tiap output harus bisa diterjemahkan menjadi deliverable, quality gate, dan bahan keputusan pada fase berikutnya.</w:t>
      </w:r>
    </w:p>
    <w:p>
      <w:pPr>
        <w:pStyle w:val="Heading2"/>
      </w:pPr>
      <w:r>
        <w:rPr>
          <w:rFonts w:ascii="Arial" w:hAnsi="Arial"/>
          <w:b/>
          <w:color w:val="777973"/>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blueprint transformasi, governance pack, dan rollout plan</w:t>
            </w:r>
          </w:p>
        </w:tc>
        <w:tc>
          <w:tcPr>
            <w:tcW w:type="dxa" w:w="3120"/>
          </w:tcPr>
          <w:p>
            <w:r>
              <w:rPr>
                <w:b w:val="0"/>
                <w:i w:val="0"/>
              </w:rPr>
              <w:t>menjadi acuan perubahan yang lebih terstruktur</w:t>
            </w:r>
          </w:p>
        </w:tc>
      </w:tr>
      <w:tr>
        <w:tc>
          <w:tcPr>
            <w:tcW w:type="dxa" w:w="3120"/>
          </w:tcPr>
          <w:p>
            <w:r>
              <w:rPr>
                <w:b w:val="0"/>
                <w:i w:val="0"/>
              </w:rPr>
              <w:t>Pendampingan</w:t>
            </w:r>
          </w:p>
        </w:tc>
        <w:tc>
          <w:tcPr>
            <w:tcW w:type="dxa" w:w="3120"/>
          </w:tcPr>
          <w:p>
            <w:r>
              <w:rPr>
                <w:b w:val="0"/>
                <w:i w:val="0"/>
              </w:rPr>
              <w:t>PMO advisory, quality gate review, dan change orchestration</w:t>
            </w:r>
          </w:p>
        </w:tc>
        <w:tc>
          <w:tcPr>
            <w:tcW w:type="dxa" w:w="3120"/>
          </w:tcPr>
          <w:p>
            <w:r>
              <w:rPr>
                <w:b w:val="0"/>
                <w:i w:val="0"/>
              </w:rPr>
              <w:t>menjaga program berjalan disiplin dari awal sampai stabilisasi</w:t>
            </w:r>
          </w:p>
        </w:tc>
      </w:tr>
      <w:tr>
        <w:tc>
          <w:tcPr>
            <w:tcW w:type="dxa" w:w="3120"/>
          </w:tcPr>
          <w:p>
            <w:r>
              <w:rPr>
                <w:b w:val="0"/>
                <w:i w:val="0"/>
              </w:rPr>
              <w:t>Kegiatan</w:t>
            </w:r>
          </w:p>
        </w:tc>
        <w:tc>
          <w:tcPr>
            <w:tcW w:type="dxa" w:w="3120"/>
          </w:tcPr>
          <w:p>
            <w:r>
              <w:rPr>
                <w:b w:val="0"/>
                <w:i w:val="0"/>
              </w:rPr>
              <w:t>kickoff, checkpoint, workshop alignment, dan review milestone</w:t>
            </w:r>
          </w:p>
        </w:tc>
        <w:tc>
          <w:tcPr>
            <w:tcW w:type="dxa" w:w="3120"/>
          </w:tcPr>
          <w:p>
            <w:r>
              <w:rPr>
                <w:b w:val="0"/>
                <w:i w:val="0"/>
              </w:rPr>
              <w:t>menjaga keputusan dan eksekusi tetap seirama</w:t>
            </w:r>
          </w:p>
        </w:tc>
      </w:tr>
      <w:tr>
        <w:tc>
          <w:tcPr>
            <w:tcW w:type="dxa" w:w="3120"/>
          </w:tcPr>
          <w:p>
            <w:r>
              <w:rPr>
                <w:b w:val="0"/>
                <w:i w:val="0"/>
              </w:rPr>
              <w:t>Implementation Support</w:t>
            </w:r>
          </w:p>
        </w:tc>
        <w:tc>
          <w:tcPr>
            <w:tcW w:type="dxa" w:w="3120"/>
          </w:tcPr>
          <w:p>
            <w:r>
              <w:rPr>
                <w:b w:val="0"/>
                <w:i w:val="0"/>
              </w:rPr>
              <w:t>support implementasi terbatas pada fase kritis</w:t>
            </w:r>
          </w:p>
        </w:tc>
        <w:tc>
          <w:tcPr>
            <w:tcW w:type="dxa" w:w="3120"/>
          </w:tcPr>
          <w:p>
            <w:r>
              <w:rPr>
                <w:b w:val="0"/>
                <w:i w:val="0"/>
              </w:rPr>
              <w:t>membantu transisi hasil desain ke realisasi lapangan</w:t>
            </w:r>
          </w:p>
        </w:tc>
      </w:tr>
    </w:tbl>
    <w:p>
      <w:r>
        <w:rPr>
          <w:b w:val="0"/>
          <w:i w:val="0"/>
        </w:rPr>
        <w:t>Dengan struktur keluaran seperti ini, Bank Mandiri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27"/>
        </w:numPr>
      </w:pPr>
      <w:r>
        <w:rPr>
          <w:b w:val="0"/>
          <w:i w:val="0"/>
        </w:rPr>
        <w:t>Prioritas implementasi untuk Bank Mandiri diarahkan agar tetap selaras dengan monthly active users/adoption kanal digital: target pertumbuhan terukur dalam 6 bulan..</w:t>
      </w:r>
    </w:p>
    <w:p>
      <w:pPr>
        <w:pStyle w:val="ListNumber"/>
        <w:spacing w:before="0" w:after="80"/>
        <w:numPr>
          <w:ilvl w:val="0"/>
          <w:numId w:val="27"/>
        </w:numPr>
      </w:pPr>
      <w:r>
        <w:rPr>
          <w:b w:val="0"/>
          <w:i w:val="0"/>
        </w:rPr>
        <w:t>Keputusan delivery dan quality gate pada bab ini harus konsisten dengan istilah kerja nasabah, core banking.</w:t>
      </w:r>
    </w:p>
    <w:p>
      <w:r>
        <w:br w:type="page"/>
      </w:r>
    </w:p>
    <w:p>
      <w:pPr>
        <w:pStyle w:val="Heading1"/>
        <w:jc w:val="center"/>
      </w:pPr>
      <w:r>
        <w:rPr>
          <w:color w:val="777973"/>
        </w:rPr>
        <w:t>BAB VII – RUANG LINGKUP PEKERJAAN</w:t>
      </w:r>
    </w:p>
    <w:p>
      <w:r>
        <w:rPr>
          <w:b w:val="0"/>
          <w:i w:val="0"/>
        </w:rPr>
        <w:t>Ruang lingkup pekerjaan untuk Bank Mandiri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77973"/>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meningkatkan adoption dan engagement livin' by mandiri melalui governance delivery... dan ruang problem yang direspons sudah selaras</w:t>
            </w:r>
          </w:p>
        </w:tc>
        <w:tc>
          <w:tcPr>
            <w:tcW w:type="dxa" w:w="2340"/>
          </w:tcPr>
          <w:p>
            <w:r>
              <w:rPr>
                <w:b w:val="0"/>
                <w:i w:val="0"/>
              </w:rPr>
              <w:t>blueprint transformasi, governance pack, dan rollout plan</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persaingan bank digital semakin ketat. diperlukan peningkatan adoption pengguna, stabilitas layanan, dan... ke solusi, prioritas, dan kontrol delivery</w:t>
            </w:r>
          </w:p>
        </w:tc>
        <w:tc>
          <w:tcPr>
            <w:tcW w:type="dxa" w:w="2340"/>
          </w:tcPr>
          <w:p>
            <w:r>
              <w:rPr>
                <w:b w:val="0"/>
                <w:i w:val="0"/>
              </w:rPr>
              <w:t>PMO advisory, quality gate review, dan change orchestration</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kickoff, checkpoint, workshop alignment, dan review milestone</w:t>
            </w:r>
          </w:p>
        </w:tc>
        <w:tc>
          <w:tcPr>
            <w:tcW w:type="dxa" w:w="2340"/>
          </w:tcPr>
          <w:p>
            <w:r>
              <w:rPr>
                <w:b w:val="0"/>
                <w:i w:val="0"/>
              </w:rPr>
              <w:t>jadwal forum menyesuaikan kalender kerja dan kecepatan keputusan sponsor</w:t>
            </w:r>
          </w:p>
        </w:tc>
      </w:tr>
      <w:tr>
        <w:tc>
          <w:tcPr>
            <w:tcW w:type="dxa" w:w="2340"/>
          </w:tcPr>
          <w:p>
            <w:r>
              <w:rPr>
                <w:b w:val="0"/>
                <w:i w:val="0"/>
              </w:rPr>
              <w:t>Dukungan implementasi terbatas</w:t>
            </w:r>
          </w:p>
        </w:tc>
        <w:tc>
          <w:tcPr>
            <w:tcW w:type="dxa" w:w="2340"/>
          </w:tcPr>
          <w:p>
            <w:r>
              <w:rPr>
                <w:b w:val="0"/>
                <w:i w:val="0"/>
              </w:rPr>
              <w:t>memberi quality review dan support pada fase paling kritis dari eksekusi</w:t>
            </w:r>
          </w:p>
        </w:tc>
        <w:tc>
          <w:tcPr>
            <w:tcW w:type="dxa" w:w="2340"/>
          </w:tcPr>
          <w:p>
            <w:r>
              <w:rPr>
                <w:b w:val="0"/>
                <w:i w:val="0"/>
              </w:rPr>
              <w:t>support implementasi terbatas pada fase kritis</w:t>
            </w:r>
          </w:p>
        </w:tc>
        <w:tc>
          <w:tcPr>
            <w:tcW w:type="dxa" w:w="2340"/>
          </w:tcPr>
          <w:p>
            <w:r>
              <w:rPr>
                <w:b w:val="0"/>
                <w:i w:val="0"/>
              </w:rPr>
              <w:t>bukan pelaksanaan implementasi penuh kecuali disepakati secara eksplisit</w:t>
            </w:r>
          </w:p>
        </w:tc>
      </w:tr>
    </w:tbl>
    <w:p>
      <w:r>
        <w:rPr>
          <w:b w:val="0"/>
          <w:i w:val="0"/>
        </w:rPr>
        <w:t>Ruang lingkup di atas dirancang agar tetap fokus pada kebutuhan opportunity dan tidak melebar ke area yang belum menjadi prioritas keputusan Bank Mandiri. Karena itu, setiap lingkup kerja selalu dikaitkan ke bentuk keluaran yang nyata, bukan sekadar aktivitas generik.</w:t>
      </w:r>
    </w:p>
    <w:p>
      <w:pPr>
        <w:pStyle w:val="Heading2"/>
      </w:pPr>
      <w:r>
        <w:rPr>
          <w:rFonts w:ascii="Arial" w:hAnsi="Arial"/>
          <w:b/>
          <w:color w:val="777973"/>
        </w:rPr>
        <w:t>7.2 Batasan Pekerjaan dan Asumsi</w:t>
      </w:r>
    </w:p>
    <w:p>
      <w:pPr>
        <w:pStyle w:val="ListNumber"/>
        <w:spacing w:before="0" w:after="80"/>
        <w:numPr>
          <w:ilvl w:val="0"/>
          <w:numId w:val="28"/>
        </w:numPr>
      </w:pPr>
      <w:r>
        <w:rPr>
          <w:b w:val="0"/>
          <w:i w:val="0"/>
        </w:rPr>
        <w:t>Prioritas implementasi untuk Bank Mandiri diarahkan agar tetap selaras dengan monthly active users/adoption kanal digital: target pertumbuhan terukur dalam 6 bulan..</w:t>
      </w:r>
    </w:p>
    <w:p>
      <w:pPr>
        <w:pStyle w:val="ListNumber"/>
        <w:spacing w:before="0" w:after="80"/>
        <w:numPr>
          <w:ilvl w:val="0"/>
          <w:numId w:val="28"/>
        </w:numPr>
      </w:pPr>
      <w:r>
        <w:rPr>
          <w:b w:val="0"/>
          <w:i w:val="0"/>
        </w:rPr>
        <w:t>Keputusan delivery dan quality gate pada bab ini harus konsisten dengan istilah kerja nasabah, core banking.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VIII – TIMELINE PEKERJAAN</w:t>
      </w:r>
    </w:p>
    <w:p>
      <w:r>
        <w:drawing>
          <wp:inline xmlns:a="http://schemas.openxmlformats.org/drawingml/2006/main" xmlns:pic="http://schemas.openxmlformats.org/drawingml/2006/picture">
            <wp:extent cx="5486400" cy="247582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475827"/>
                    </a:xfrm>
                    <a:prstGeom prst="rect"/>
                  </pic:spPr>
                </pic:pic>
              </a:graphicData>
            </a:graphic>
          </wp:inline>
        </w:drawing>
      </w:r>
    </w:p>
    <w:p>
      <w:r>
        <w:rPr>
          <w:b w:val="0"/>
          <w:i w:val="0"/>
        </w:rPr>
        <w:t>Untuk Bank Mandiri, timeline pekerjaan disusun agar inisiatif Meningkatkan adoption dan engagement Livin' by Mandiri melalui governance delivery, reliability layanan digital, dan roadmap transformasi yang terukur dapat bergerak stabil selama 6 Bulan. Rencana ini mengikat ritme delivery ke KPI seperti monthly active users/adoption kanal digital: target pertumbuhan terukur dalam 6 bulan., memakai istilah kerja nasabah, core banking, risk appetite, dan menjaga agar keputusan fase selalu dapat ditelusuri terhadap outcome bisnis.</w:t>
      </w:r>
    </w:p>
    <w:p>
      <w:pPr>
        <w:pStyle w:val="Heading2"/>
      </w:pPr>
      <w:r>
        <w:rPr>
          <w:rFonts w:ascii="Arial" w:hAnsi="Arial"/>
          <w:b/>
          <w:color w:val="777973"/>
        </w:rPr>
        <w:t>8.1 Aktivitas per Fase</w:t>
      </w:r>
    </w:p>
    <w:p>
      <w:pPr>
        <w:pStyle w:val="ListNumber"/>
        <w:spacing w:before="0" w:after="80"/>
        <w:numPr>
          <w:ilvl w:val="0"/>
          <w:numId w:val="29"/>
        </w:numPr>
      </w:pPr>
      <w:r>
        <w:rPr>
          <w:b/>
          <w:i w:val="0"/>
        </w:rPr>
        <w:t>Readiness Assessment</w:t>
      </w:r>
      <w:r>
        <w:rPr>
          <w:b w:val="0"/>
          <w:i w:val="0"/>
        </w:rPr>
        <w:t xml:space="preserve"> (Bulan 1): Nilai kesiapan organisasi, proses, data, dan sponsor. Output utama: readiness view dan daftar gap.</w:t>
      </w:r>
    </w:p>
    <w:p>
      <w:pPr>
        <w:pStyle w:val="ListNumber"/>
        <w:spacing w:before="0" w:after="80"/>
        <w:numPr>
          <w:ilvl w:val="0"/>
          <w:numId w:val="29"/>
        </w:numPr>
      </w:pPr>
      <w:r>
        <w:rPr>
          <w:b/>
          <w:i w:val="0"/>
        </w:rPr>
        <w:t>Blueprint &amp; Mobilization</w:t>
      </w:r>
      <w:r>
        <w:rPr>
          <w:b w:val="0"/>
          <w:i w:val="0"/>
        </w:rPr>
        <w:t xml:space="preserve"> (Bulan 2-3): Tetapkan rancangan solusi, governance, dan model delivery. Output utama: blueprint, scope lock, dan mobilization plan.</w:t>
      </w:r>
    </w:p>
    <w:p>
      <w:pPr>
        <w:pStyle w:val="ListNumber"/>
        <w:spacing w:before="0" w:after="80"/>
        <w:numPr>
          <w:ilvl w:val="0"/>
          <w:numId w:val="29"/>
        </w:numPr>
      </w:pPr>
      <w:r>
        <w:rPr>
          <w:b/>
          <w:i w:val="0"/>
        </w:rPr>
        <w:t>Phased Rollout</w:t>
      </w:r>
      <w:r>
        <w:rPr>
          <w:b w:val="0"/>
          <w:i w:val="0"/>
        </w:rPr>
        <w:t xml:space="preserve"> (Bulan 4-5): Eksekusi perubahan prioritas melalui workstream terukur. Output utama: deliverable inti dan milestone rollout.</w:t>
      </w:r>
    </w:p>
    <w:p>
      <w:pPr>
        <w:pStyle w:val="ListNumber"/>
        <w:spacing w:before="0" w:after="80"/>
        <w:numPr>
          <w:ilvl w:val="0"/>
          <w:numId w:val="29"/>
        </w:numPr>
      </w:pPr>
      <w:r>
        <w:rPr>
          <w:b/>
          <w:i w:val="0"/>
        </w:rPr>
        <w:t>Hypercare &amp; Stabilization</w:t>
      </w:r>
      <w:r>
        <w:rPr>
          <w:b w:val="0"/>
          <w:i w:val="0"/>
        </w:rPr>
        <w:t xml:space="preserve"> (Bulan 6): Amankan adoption, kualitas layanan, dan transisi operasi. Output utama: stabilization report dan next-step backlog.</w:t>
      </w:r>
    </w:p>
    <w:p>
      <w:pPr>
        <w:pStyle w:val="Heading2"/>
      </w:pPr>
      <w:r>
        <w:rPr>
          <w:rFonts w:ascii="Arial" w:hAnsi="Arial"/>
          <w:b/>
          <w:color w:val="777973"/>
        </w:rPr>
        <w:t>8.2 Waktu Pelaksanaan dan Deliverable Tiap Fase</w:t>
      </w:r>
    </w:p>
    <w:p>
      <w:r>
        <w:rPr>
          <w:b w:val="0"/>
          <w:i w:val="0"/>
        </w:rPr>
        <w:t>Pengaturan waktu tidak hanya membagi durasi, tetapi memastikan setiap deliverable langsung mendukung kebutuhan opportunity dan memberi bahan keputusan yang rapi pada forum pengarah proyek Bank Mandiri.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Readiness Assessment</w:t>
            </w:r>
          </w:p>
        </w:tc>
        <w:tc>
          <w:tcPr>
            <w:tcW w:type="dxa" w:w="2340"/>
          </w:tcPr>
          <w:p>
            <w:r>
              <w:rPr>
                <w:b w:val="0"/>
                <w:i w:val="0"/>
              </w:rPr>
              <w:t>Bulan 1</w:t>
            </w:r>
          </w:p>
        </w:tc>
        <w:tc>
          <w:tcPr>
            <w:tcW w:type="dxa" w:w="2340"/>
          </w:tcPr>
          <w:p>
            <w:r>
              <w:rPr>
                <w:b w:val="0"/>
                <w:i w:val="0"/>
              </w:rPr>
              <w:t>readiness view dan daftar gap</w:t>
            </w:r>
          </w:p>
        </w:tc>
        <w:tc>
          <w:tcPr>
            <w:tcW w:type="dxa" w:w="2340"/>
          </w:tcPr>
          <w:p>
            <w:r>
              <w:rPr>
                <w:b w:val="0"/>
                <w:i w:val="0"/>
              </w:rPr>
              <w:t>Menjaga progres opportunity</w:t>
            </w:r>
          </w:p>
        </w:tc>
      </w:tr>
      <w:tr>
        <w:tc>
          <w:tcPr>
            <w:tcW w:type="dxa" w:w="2340"/>
          </w:tcPr>
          <w:p>
            <w:r>
              <w:rPr>
                <w:b w:val="0"/>
                <w:i w:val="0"/>
              </w:rPr>
              <w:t>Blueprint &amp; Mobilization</w:t>
            </w:r>
          </w:p>
        </w:tc>
        <w:tc>
          <w:tcPr>
            <w:tcW w:type="dxa" w:w="2340"/>
          </w:tcPr>
          <w:p>
            <w:r>
              <w:rPr>
                <w:b w:val="0"/>
                <w:i w:val="0"/>
              </w:rPr>
              <w:t>Bulan 2-3</w:t>
            </w:r>
          </w:p>
        </w:tc>
        <w:tc>
          <w:tcPr>
            <w:tcW w:type="dxa" w:w="2340"/>
          </w:tcPr>
          <w:p>
            <w:r>
              <w:rPr>
                <w:b w:val="0"/>
                <w:i w:val="0"/>
              </w:rPr>
              <w:t>blueprint, scope lock, dan mobilization plan</w:t>
            </w:r>
          </w:p>
        </w:tc>
        <w:tc>
          <w:tcPr>
            <w:tcW w:type="dxa" w:w="2340"/>
          </w:tcPr>
          <w:p>
            <w:r>
              <w:rPr>
                <w:b w:val="0"/>
                <w:i w:val="0"/>
              </w:rPr>
              <w:t>Menjaga progres opportunity</w:t>
            </w:r>
          </w:p>
        </w:tc>
      </w:tr>
      <w:tr>
        <w:tc>
          <w:tcPr>
            <w:tcW w:type="dxa" w:w="2340"/>
          </w:tcPr>
          <w:p>
            <w:r>
              <w:rPr>
                <w:b w:val="0"/>
                <w:i w:val="0"/>
              </w:rPr>
              <w:t>Phased Rollout</w:t>
            </w:r>
          </w:p>
        </w:tc>
        <w:tc>
          <w:tcPr>
            <w:tcW w:type="dxa" w:w="2340"/>
          </w:tcPr>
          <w:p>
            <w:r>
              <w:rPr>
                <w:b w:val="0"/>
                <w:i w:val="0"/>
              </w:rPr>
              <w:t>Bulan 4-5</w:t>
            </w:r>
          </w:p>
        </w:tc>
        <w:tc>
          <w:tcPr>
            <w:tcW w:type="dxa" w:w="2340"/>
          </w:tcPr>
          <w:p>
            <w:r>
              <w:rPr>
                <w:b w:val="0"/>
                <w:i w:val="0"/>
              </w:rPr>
              <w:t>deliverable inti dan milestone rollout</w:t>
            </w:r>
          </w:p>
        </w:tc>
        <w:tc>
          <w:tcPr>
            <w:tcW w:type="dxa" w:w="2340"/>
          </w:tcPr>
          <w:p>
            <w:r>
              <w:rPr>
                <w:b w:val="0"/>
                <w:i w:val="0"/>
              </w:rPr>
              <w:t>Menjaga progres opportunity</w:t>
            </w:r>
          </w:p>
        </w:tc>
      </w:tr>
      <w:tr>
        <w:tc>
          <w:tcPr>
            <w:tcW w:type="dxa" w:w="2340"/>
          </w:tcPr>
          <w:p>
            <w:r>
              <w:rPr>
                <w:b w:val="0"/>
                <w:i w:val="0"/>
              </w:rPr>
              <w:t>Hypercare &amp; Stabilization</w:t>
            </w:r>
          </w:p>
        </w:tc>
        <w:tc>
          <w:tcPr>
            <w:tcW w:type="dxa" w:w="2340"/>
          </w:tcPr>
          <w:p>
            <w:r>
              <w:rPr>
                <w:b w:val="0"/>
                <w:i w:val="0"/>
              </w:rPr>
              <w:t>Bulan 6</w:t>
            </w:r>
          </w:p>
        </w:tc>
        <w:tc>
          <w:tcPr>
            <w:tcW w:type="dxa" w:w="2340"/>
          </w:tcPr>
          <w:p>
            <w:r>
              <w:rPr>
                <w:b w:val="0"/>
                <w:i w:val="0"/>
              </w:rPr>
              <w:t>stabilization report dan next-step backlog</w:t>
            </w:r>
          </w:p>
        </w:tc>
        <w:tc>
          <w:tcPr>
            <w:tcW w:type="dxa" w:w="2340"/>
          </w:tcPr>
          <w:p>
            <w:r>
              <w:rPr>
                <w:b w:val="0"/>
                <w:i w:val="0"/>
              </w:rPr>
              <w:t>Menjaga progres opportunity</w:t>
            </w:r>
          </w:p>
        </w:tc>
      </w:tr>
      <w:tr>
        <w:tc>
          <w:tcPr>
            <w:tcW w:type="dxa" w:w="2340"/>
          </w:tcPr>
          <w:p>
            <w:r>
              <w:rPr>
                <w:b w:val="0"/>
                <w:i w:val="0"/>
              </w:rPr>
              <w:t>- Konteks Bank Mandiri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bl>
    <w:p>
      <w:r>
        <w:br w:type="page"/>
      </w:r>
    </w:p>
    <w:p>
      <w:pPr>
        <w:pStyle w:val="Heading1"/>
        <w:jc w:val="center"/>
      </w:pPr>
      <w:r>
        <w:rPr>
          <w:color w:val="777973"/>
        </w:rPr>
        <w:t>BAB IX – TATA KELOLA PROYEK</w:t>
      </w:r>
    </w:p>
    <w:p>
      <w:r>
        <w:rPr>
          <w:b w:val="0"/>
          <w:i w:val="0"/>
        </w:rPr>
        <w:t>Tata kelola proyek untuk Bank Mandiri dirancang agar keputusan strategis, kontrol eksekusi, dan penanganan risiko berjalan dalam satu sistem kerja yang konsisten. Fokusnya adalah menjaga meningkatkan adoption dan engagement livin' by mandiri melalui governance delivery, reliability layanan digital, dan roadmap transformasi yang terukur tetap selaras dengan KPI seperti monthly active users/adoption kanal digital: target pertumbuhan terukur dalam 6 bulan., sambil memakai istilah operasional nasabah, core banking, risk appetite agar koordinasi lintas pihak tidak kehilangan konteks.</w:t>
      </w:r>
    </w:p>
    <w:p>
      <w:pPr>
        <w:pStyle w:val="Heading2"/>
      </w:pPr>
      <w:r>
        <w:rPr>
          <w:rFonts w:ascii="Arial" w:hAnsi="Arial"/>
          <w:b/>
          <w:color w:val="777973"/>
        </w:rPr>
        <w:t>9.1 Mekanisme Pengambilan Keputusan</w:t>
      </w:r>
    </w:p>
    <w:p>
      <w:pPr>
        <w:pStyle w:val="ListNumber"/>
        <w:spacing w:before="0" w:after="80"/>
        <w:numPr>
          <w:ilvl w:val="0"/>
          <w:numId w:val="30"/>
        </w:numPr>
      </w:pPr>
      <w:r>
        <w:rPr>
          <w:b/>
          <w:i w:val="0"/>
        </w:rPr>
        <w:t>Steering Committee</w:t>
      </w:r>
      <w:r>
        <w:rPr>
          <w:b w:val="0"/>
          <w:i w:val="0"/>
        </w:rPr>
        <w:t xml:space="preserve"> menetapkan arah, prioritas, dan keputusan yang berdampak pada scope, biaya, atau timeline program Bank Mandiri.</w:t>
      </w:r>
    </w:p>
    <w:p>
      <w:pPr>
        <w:pStyle w:val="ListNumber"/>
        <w:spacing w:before="0" w:after="80"/>
        <w:numPr>
          <w:ilvl w:val="0"/>
          <w:numId w:val="30"/>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30"/>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30"/>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77973"/>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Bank Mandiri, pengendalian semacam ini penting karena program meningkatkan adoption dan engagement livin' by mandiri melalui governance delivery, reliability layanan digital, dan roadmap transformasi yang terukur berpotensi melibatkan banyak dependency dan keputusan cepat. Oleh sebab itu, indikator kontrol tidak cukup hanya melihat status task, tetapi juga harus membaca dampaknya pada target bisnis, pengalaman nasabah, dan risiko operasional.</w:t>
      </w:r>
    </w:p>
    <w:p>
      <w:r>
        <w:rPr>
          <w:b w:val="0"/>
          <w:i w:val="0"/>
        </w:rPr>
        <w:t>Untuk Bank Mandiri, isi bab ini harus dibaca sebagai dasar keputusan kerja yang dapat ditindaklanjuti, bukan sekadar penjelasan konseptual. Karena itu, isi bab tetap diarahkan untuk menjaga relevansi terhadap KPI seperti monthly active users/adoption kanal digital: target pertumbuhan terukur dalam 6 bulan.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X – PROFIL PERUSAHAAN</w:t>
      </w:r>
    </w:p>
    <w:p>
      <w:r>
        <w:rPr>
          <w:b w:val="0"/>
          <w:i w:val="0"/>
        </w:rPr>
        <w:t>Profil perusahaan pada proposal ini tidak dimaksudkan sebagai brosur umum, melainkan sebagai bukti bahwa Inixindo Jogja memiliki modal kerja yang relevan untuk membantu Bank Mandiri. Yang ditekankan bukan hanya deskripsi perusahaan, tetapi keterkaitan antara kapabilitas, pengalaman serupa, dan bentuk dukungan yang dibutuhkan oleh inisiatif meningkatkan adoption dan engagement livin' by mandiri melalui governance delivery, reliability layanan digital, dan roadmap transformasi yang terukur (Data Internal, 2026).</w:t>
      </w:r>
    </w:p>
    <w:p>
      <w:pPr>
        <w:pStyle w:val="Heading2"/>
      </w:pPr>
      <w:r>
        <w:rPr>
          <w:rFonts w:ascii="Arial" w:hAnsi="Arial"/>
          <w:b/>
          <w:color w:val="777973"/>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nasabah, core banking, risk appetite.</w:t>
      </w:r>
    </w:p>
    <w:p>
      <w:pPr>
        <w:pStyle w:val="Heading2"/>
      </w:pPr>
      <w:r>
        <w:rPr>
          <w:rFonts w:ascii="Arial" w:hAnsi="Arial"/>
          <w:b/>
          <w:color w:val="777973"/>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transformation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Readiness Assessment 2. Phased Rollout 3. Change Management 4. Hypercare, 1x Program Manager, 2x Change Experts, 3x Tech Leads</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Bank Mandiri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31"/>
        </w:numPr>
      </w:pPr>
      <w:r>
        <w:rPr>
          <w:b w:val="0"/>
          <w:i w:val="0"/>
        </w:rPr>
        <w:t>Prioritas implementasi untuk Bank Mandiri diarahkan agar tetap selaras dengan monthly active users/adoption kanal digital: target pertumbuhan terukur dalam 6 bulan..</w:t>
      </w:r>
    </w:p>
    <w:p>
      <w:pPr>
        <w:pStyle w:val="ListNumber"/>
        <w:spacing w:before="0" w:after="80"/>
        <w:numPr>
          <w:ilvl w:val="0"/>
          <w:numId w:val="31"/>
        </w:numPr>
      </w:pPr>
      <w:r>
        <w:rPr>
          <w:b w:val="0"/>
          <w:i w:val="0"/>
        </w:rPr>
        <w:t>Keputusan delivery dan quality gate pada bab ini harus konsisten dengan istilah kerja nasabah, core banking.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XI – STRUKTUR &amp; TENAGA AHLI PROYEK</w:t>
      </w:r>
    </w:p>
    <w:p>
      <w:r>
        <w:rPr>
          <w:b w:val="0"/>
          <w:i w:val="0"/>
        </w:rPr>
        <w:t>Struktur tim proyek untuk Bank Mandiri dibentuk agar pengambilan keputusan, pengawasan mutu, dan eksekusi lapangan bergerak seirama. Komposisi tim tidak diperlakukan sebagai daftar jabatan semata, tetapi sebagai mekanisme untuk menjaga kualitas output terhadap target monthly active users/adoption kanal digital: target pertumbuhan terukur dalam 6 bulan.</w:t>
      </w:r>
    </w:p>
    <w:p>
      <w:pPr>
        <w:pStyle w:val="Heading2"/>
      </w:pPr>
      <w:r>
        <w:rPr>
          <w:rFonts w:ascii="Arial" w:hAnsi="Arial"/>
          <w:b/>
          <w:color w:val="777973"/>
        </w:rPr>
        <w:t>11.1 Struktur Tim Proyek</w:t>
      </w:r>
    </w:p>
    <w:p>
      <w:pPr>
        <w:pStyle w:val="ListNumber"/>
        <w:spacing w:before="0" w:after="80"/>
        <w:numPr>
          <w:ilvl w:val="0"/>
          <w:numId w:val="32"/>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2"/>
        </w:numPr>
      </w:pPr>
      <w:r>
        <w:rPr>
          <w:b/>
          <w:i w:val="0"/>
        </w:rPr>
        <w:t>Project Manager / PMO Lead</w:t>
      </w:r>
      <w:r>
        <w:rPr>
          <w:b w:val="0"/>
          <w:i w:val="0"/>
        </w:rPr>
        <w:t xml:space="preserve"> mengendalikan ritme kerja, milestone, dan quality gate.</w:t>
      </w:r>
    </w:p>
    <w:p>
      <w:pPr>
        <w:pStyle w:val="ListNumber"/>
        <w:spacing w:before="0" w:after="80"/>
        <w:numPr>
          <w:ilvl w:val="0"/>
          <w:numId w:val="32"/>
        </w:numPr>
      </w:pPr>
      <w:r>
        <w:rPr>
          <w:b/>
          <w:i w:val="0"/>
        </w:rPr>
        <w:t>Lead Fungsional / Solusi</w:t>
      </w:r>
      <w:r>
        <w:rPr>
          <w:b w:val="0"/>
          <w:i w:val="0"/>
        </w:rPr>
        <w:t xml:space="preserve"> menjaga kualitas desain solusi dan relevansi output kerja.</w:t>
      </w:r>
    </w:p>
    <w:p>
      <w:pPr>
        <w:pStyle w:val="ListNumber"/>
        <w:spacing w:before="0" w:after="80"/>
        <w:numPr>
          <w:ilvl w:val="0"/>
          <w:numId w:val="32"/>
        </w:numPr>
      </w:pPr>
      <w:r>
        <w:rPr>
          <w:b/>
          <w:i w:val="0"/>
        </w:rPr>
        <w:t>Reviewer Governance / Quality</w:t>
      </w:r>
      <w:r>
        <w:rPr>
          <w:b w:val="0"/>
          <w:i w:val="0"/>
        </w:rPr>
        <w:t xml:space="preserve"> memastikan disiplin review, sign-off, dan kontrol risiko.</w:t>
      </w:r>
    </w:p>
    <w:p>
      <w:pPr>
        <w:pStyle w:val="Heading2"/>
      </w:pPr>
      <w:r>
        <w:rPr>
          <w:rFonts w:ascii="Arial" w:hAnsi="Arial"/>
          <w:b/>
          <w:color w:val="777973"/>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transformation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POJK</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Program Manager, 2x Change Experts, 3x Tech Leads</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Bank Mandiri memperoleh gambaran yang lebih konkret mengenai siapa yang menjaga keputusan, siapa yang mengawal delivery, dan siapa yang mengamankan mutu hasil kerja. Pendekatan ini membuat bab tenaga ahli lebih mudah diaudit dan lebih meyakinkan bagi sponsor proyek.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XII – MODEL PEMBIAYAAN</w:t>
      </w:r>
    </w:p>
    <w:p>
      <w:r>
        <w:rPr>
          <w:b w:val="0"/>
          <w:i w:val="0"/>
        </w:rPr>
        <w:t>Model pembiayaan untuk Bank Mandiri disusun agar komitmen biaya, mekanisme pembayaran, dan batas ruang lingkup tetap jelas sejak awal. Tujuannya adalah menjaga proyek meningkatkan adoption dan engagement livin' by mandiri melalui governance delivery, reliability layanan digital, dan roadmap transformasi yang terukur tetap dapat dieksekusi tanpa ambiguitas komersial, sambil memberi ruang kontrol terhadap perubahan yang benar-benar material dan memastikan investasi tetap tertaut pada manfaat yang dijanjikan: Inixindo Jogja menempatkan engagement Bank Mandiri sebagai upaya untuk mengubah kebutuhan klien menjadi program perubahan yang lebih terkendali, dengan memanfaatkan kapabilitas readiness assessment, rollout orchestration, change management, dan....</w:t>
      </w:r>
    </w:p>
    <w:p>
      <w:pPr>
        <w:pStyle w:val="Heading2"/>
      </w:pPr>
      <w:r>
        <w:rPr>
          <w:rFonts w:ascii="Arial" w:hAnsi="Arial"/>
          <w:b/>
          <w:color w:val="777973"/>
        </w:rPr>
        <w:t>12.1 Biaya dan Tahapan Pembayaran</w:t>
      </w:r>
    </w:p>
    <w:p>
      <w:r>
        <w:rPr>
          <w:b w:val="0"/>
          <w:i w:val="0"/>
        </w:rPr>
        <w:t>Estimasi investasi awal untuk engagement ini adalah</w:t>
      </w:r>
      <w:r>
        <w:rPr>
          <w:b/>
          <w:i w:val="0"/>
        </w:rPr>
        <w:t xml:space="preserve"> Rp 622.404.000</w:t>
      </w:r>
      <w:r>
        <w:rPr>
          <w:b w:val="0"/>
          <w:i w:val="0"/>
        </w:rPr>
        <w:t>, dengan tipe layanan</w:t>
      </w:r>
      <w:r>
        <w:rPr>
          <w:b/>
          <w:i w:val="0"/>
        </w:rPr>
        <w:t xml:space="preserve"> Konsultan</w:t>
      </w:r>
      <w:r>
        <w:rPr>
          <w:b w:val="0"/>
          <w:i w:val="0"/>
        </w:rPr>
        <w:t xml:space="preserve"> pada model proyek</w:t>
      </w:r>
      <w:r>
        <w:rPr>
          <w:b/>
          <w:i w:val="0"/>
        </w:rPr>
        <w:t xml:space="preserve"> Transformation</w:t>
      </w:r>
      <w:r>
        <w:rPr>
          <w:b w:val="0"/>
          <w:i w:val="0"/>
        </w:rPr>
        <w:t xml:space="preserve"> selama</w:t>
      </w:r>
      <w:r>
        <w:rPr>
          <w:b/>
          <w:i w:val="0"/>
        </w:rPr>
        <w:t xml:space="preserve"> 6 Bulan</w:t>
      </w:r>
      <w:r>
        <w:rPr>
          <w:b w:val="0"/>
          <w:i w:val="0"/>
        </w:rPr>
        <w:t>. Baseline komersial internal yang menjadi acuan adalah Time &amp; Materials (T&amp;M) over 12-18 months.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622.404.000</w:t>
            </w:r>
          </w:p>
        </w:tc>
      </w:tr>
      <w:tr>
        <w:tc>
          <w:tcPr>
            <w:tcW w:type="dxa" w:w="4680"/>
          </w:tcPr>
          <w:p>
            <w:r>
              <w:rPr>
                <w:b w:val="0"/>
                <w:i w:val="0"/>
              </w:rPr>
              <w:t>Model engagement</w:t>
            </w:r>
          </w:p>
        </w:tc>
        <w:tc>
          <w:tcPr>
            <w:tcW w:type="dxa" w:w="4680"/>
          </w:tcPr>
          <w:p>
            <w:r>
              <w:rPr>
                <w:b w:val="0"/>
                <w:i w:val="0"/>
              </w:rPr>
              <w:t>Konsultan - Transformation</w:t>
            </w:r>
          </w:p>
        </w:tc>
      </w:tr>
      <w:tr>
        <w:tc>
          <w:tcPr>
            <w:tcW w:type="dxa" w:w="4680"/>
          </w:tcPr>
          <w:p>
            <w:r>
              <w:rPr>
                <w:b w:val="0"/>
                <w:i w:val="0"/>
              </w:rPr>
              <w:t>Durasi acuan</w:t>
            </w:r>
          </w:p>
        </w:tc>
        <w:tc>
          <w:tcPr>
            <w:tcW w:type="dxa" w:w="4680"/>
          </w:tcPr>
          <w:p>
            <w:r>
              <w:rPr>
                <w:b w:val="0"/>
                <w:i w:val="0"/>
              </w:rPr>
              <w:t>6 Bulan</w:t>
            </w:r>
          </w:p>
        </w:tc>
      </w:tr>
      <w:tr>
        <w:tc>
          <w:tcPr>
            <w:tcW w:type="dxa" w:w="4680"/>
          </w:tcPr>
          <w:p>
            <w:r>
              <w:rPr>
                <w:b w:val="0"/>
                <w:i w:val="0"/>
              </w:rPr>
              <w:t>Basis commercial</w:t>
            </w:r>
          </w:p>
        </w:tc>
        <w:tc>
          <w:tcPr>
            <w:tcW w:type="dxa" w:w="4680"/>
          </w:tcPr>
          <w:p>
            <w:r>
              <w:rPr>
                <w:b w:val="0"/>
                <w:i w:val="0"/>
              </w:rPr>
              <w:t>Time &amp; Materials (T&amp;M) over 12-18 months.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3"/>
        </w:numPr>
      </w:pPr>
      <w:r>
        <w:rPr>
          <w:b/>
          <w:i w:val="0"/>
        </w:rPr>
        <w:t>Mobilization &amp; readiness</w:t>
      </w:r>
      <w:r>
        <w:rPr>
          <w:b w:val="0"/>
          <w:i w:val="0"/>
        </w:rPr>
        <w:t xml:space="preserve"> sebesar 20% dari estimasi investasi, ditagihkan setelah milestone terkait diterima.</w:t>
      </w:r>
    </w:p>
    <w:p>
      <w:pPr>
        <w:pStyle w:val="ListNumber"/>
        <w:spacing w:before="0" w:after="80"/>
        <w:numPr>
          <w:ilvl w:val="0"/>
          <w:numId w:val="33"/>
        </w:numPr>
      </w:pPr>
      <w:r>
        <w:rPr>
          <w:b/>
          <w:i w:val="0"/>
        </w:rPr>
        <w:t>Blueprint &amp; governance setup</w:t>
      </w:r>
      <w:r>
        <w:rPr>
          <w:b w:val="0"/>
          <w:i w:val="0"/>
        </w:rPr>
        <w:t xml:space="preserve"> sebesar 30% dari estimasi investasi, ditagihkan setelah milestone terkait diterima.</w:t>
      </w:r>
    </w:p>
    <w:p>
      <w:pPr>
        <w:pStyle w:val="ListNumber"/>
        <w:spacing w:before="0" w:after="80"/>
        <w:numPr>
          <w:ilvl w:val="0"/>
          <w:numId w:val="33"/>
        </w:numPr>
      </w:pPr>
      <w:r>
        <w:rPr>
          <w:b/>
          <w:i w:val="0"/>
        </w:rPr>
        <w:t>Rollout milestone</w:t>
      </w:r>
      <w:r>
        <w:rPr>
          <w:b w:val="0"/>
          <w:i w:val="0"/>
        </w:rPr>
        <w:t xml:space="preserve"> sebesar 30% dari estimasi investasi, ditagihkan setelah milestone terkait diterima.</w:t>
      </w:r>
    </w:p>
    <w:p>
      <w:pPr>
        <w:pStyle w:val="ListNumber"/>
        <w:spacing w:before="0" w:after="80"/>
        <w:numPr>
          <w:ilvl w:val="0"/>
          <w:numId w:val="33"/>
        </w:numPr>
      </w:pPr>
      <w:r>
        <w:rPr>
          <w:b/>
          <w:i w:val="0"/>
        </w:rPr>
        <w:t>Hypercare &amp; closure</w:t>
      </w:r>
      <w:r>
        <w:rPr>
          <w:b w:val="0"/>
          <w:i w:val="0"/>
        </w:rPr>
        <w:t xml:space="preserve"> sebesar 20% dari estimasi investasi, ditagihkan setelah milestone terkait diterima.</w:t>
      </w:r>
    </w:p>
    <w:p>
      <w:pPr>
        <w:pStyle w:val="Heading2"/>
      </w:pPr>
      <w:r>
        <w:rPr>
          <w:rFonts w:ascii="Arial" w:hAnsi="Arial"/>
          <w:b/>
          <w:color w:val="777973"/>
        </w:rPr>
        <w:t>12.2 Model Pekerjaan dan Batasan Pekerjaan</w:t>
      </w:r>
    </w:p>
    <w:p>
      <w:r>
        <w:rPr>
          <w:b w:val="0"/>
          <w:i w:val="0"/>
        </w:rPr>
        <w:t>Model kerja dirancang agar ruang lingkup delivery tetap fokus pada kebutuhan opportunity dan KPI seperti monthly active users/adoption kanal digital: target pertumbuhan terukur dalam 6 bulan.. Karena itu, proposal komersial ini diposisikan sebagai baseline kerja yang transparan, bukan daftar komitmen tanpa batas. Untuk Bank Mandiri,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PENUTUP &amp; APRESIASI KEMITRAAN</w:t>
      </w:r>
    </w:p>
    <w:p>
      <w:r>
        <w:rPr>
          <w:b w:val="0"/>
          <w:i w:val="0"/>
        </w:rPr>
        <w:t>Terima kasih atas kesempatan yang diberikan kepada Inixindo Jogja untuk menyusun proposal bagi Bank Mandiri. Kami memandang inisiatif meningkatkan adoption dan engagement livin' by mandiri melalui governance delivery, reliability layanan digital, dan roadmap transformasi yang terukur bukan hanya sebagai pekerjaan delivery, tetapi sebagai fondasi kemitraan profesional yang harus terasa rapi, hangat, dan dapat dipertanggungjawabkan.</w:t>
      </w:r>
    </w:p>
    <w:p>
      <w:pPr>
        <w:pStyle w:val="Heading2"/>
      </w:pPr>
      <w:r>
        <w:rPr>
          <w:rFonts w:ascii="Arial" w:hAnsi="Arial"/>
          <w:b/>
          <w:color w:val="777973"/>
        </w:rPr>
        <w:t>Apresiasi dan Komitmen Kemitraan</w:t>
      </w:r>
    </w:p>
    <w:p>
      <w:pPr>
        <w:pStyle w:val="ListNumber"/>
        <w:spacing w:before="0" w:after="80"/>
        <w:numPr>
          <w:ilvl w:val="0"/>
          <w:numId w:val="34"/>
        </w:numPr>
      </w:pPr>
      <w:r>
        <w:rPr>
          <w:b w:val="0"/>
          <w:i w:val="0"/>
        </w:rPr>
        <w:t>Kami mengapresiasi keterbukaan Bank Mandiri dalam mengangkat konteks, tantangan, dan target bisnis yang menjadi dasar proposal ini.</w:t>
      </w:r>
    </w:p>
    <w:p>
      <w:pPr>
        <w:pStyle w:val="ListNumber"/>
        <w:spacing w:before="0" w:after="80"/>
        <w:numPr>
          <w:ilvl w:val="0"/>
          <w:numId w:val="34"/>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4"/>
        </w:numPr>
      </w:pPr>
      <w:r>
        <w:rPr>
          <w:b w:val="0"/>
          <w:i w:val="0"/>
        </w:rPr>
        <w:t>Fokus awal kemitraan diarahkan pada prioritas seperti monthly active users/adoption kanal digital: target pertumbuhan terukur dalam 6 bulan., dengan tata kelola dan ritme eksekusi yang stabil sejak kickoff.</w:t>
      </w:r>
    </w:p>
    <w:p>
      <w:pPr>
        <w:pStyle w:val="Heading2"/>
      </w:pPr>
      <w:r>
        <w:rPr>
          <w:rFonts w:ascii="Arial" w:hAnsi="Arial"/>
          <w:b/>
          <w:color w:val="777973"/>
        </w:rPr>
        <w:t>Informasi Kontak dan Langkah Lanjutan</w:t>
      </w:r>
    </w:p>
    <w:p>
      <w:r>
        <w:rPr>
          <w:b w:val="0"/>
          <w:i w:val="0"/>
        </w:rPr>
        <w:t>Untuk melanjutkan pembahasan, Inixindo Jogja siap menindaklanjuti review proposal, penajaman ruang lingkup, dan penyesuaian komersial yang diperlukan. - Konteks Bank Mandiri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8"/>
  </w:num>
  <w:num w:numId="13">
    <w:abstractNumId w:val="7"/>
  </w:num>
  <w:num w:numId="14">
    <w:abstractNumId w:val="7"/>
  </w:num>
  <w:num w:numId="15">
    <w:abstractNumId w:val="8"/>
  </w:num>
  <w:num w:numId="16">
    <w:abstractNumId w:val="7"/>
  </w:num>
  <w:num w:numId="17">
    <w:abstractNumId w:val="8"/>
  </w:num>
  <w:num w:numId="18">
    <w:abstractNumId w:val="7"/>
  </w:num>
  <w:num w:numId="19">
    <w:abstractNumId w:val="7"/>
  </w:num>
  <w:num w:numId="20">
    <w:abstractNumId w:val="7"/>
  </w:num>
  <w:num w:numId="21">
    <w:abstractNumId w:val="8"/>
  </w:num>
  <w:num w:numId="22">
    <w:abstractNumId w:val="7"/>
  </w:num>
  <w:num w:numId="23">
    <w:abstractNumId w:val="7"/>
  </w:num>
  <w:num w:numId="24">
    <w:abstractNumId w:val="7"/>
  </w:num>
  <w:num w:numId="25">
    <w:abstractNumId w:val="8"/>
  </w:num>
  <w:num w:numId="26">
    <w:abstractNumId w:val="8"/>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