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4828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482803"/>
                    </a:xfrm>
                    <a:prstGeom prst="rect"/>
                  </pic:spPr>
                </pic:pic>
              </a:graphicData>
            </a:graphic>
          </wp:inline>
        </w:drawing>
      </w:r>
    </w:p>
    <w:p>
      <w:pPr>
        <w:jc w:val="center"/>
      </w:pPr>
      <w:r>
        <w:rPr>
          <w:b/>
          <w:color w:val="777973"/>
          <w:sz w:val="60"/>
        </w:rPr>
        <w:t>ARSITEKTUR PROPOSAL</w:t>
      </w:r>
    </w:p>
    <w:p>
      <w:pPr>
        <w:jc w:val="center"/>
      </w:pPr>
      <w:r>
        <w:rPr>
          <w:sz w:val="28"/>
        </w:rPr>
        <w:t>Konsultan – Transformation</w:t>
      </w:r>
    </w:p>
    <w:p/>
    <w:p>
      <w:pPr>
        <w:jc w:val="center"/>
      </w:pPr>
      <w:r>
        <w:rPr>
          <w:b/>
          <w:sz w:val="32"/>
        </w:rPr>
        <w:t>Untuk: Bank Mandiri</w:t>
      </w:r>
    </w:p>
    <w:p>
      <w:pPr>
        <w:jc w:val="center"/>
      </w:pPr>
      <w:r>
        <w:t>Inisiatif: Meningkatkan adopsi dan engagement Livin' by Mandiri melalui governance delivery, reliability layanan digital, dan roadmap transformasi yang terukur.</w:t>
      </w:r>
    </w:p>
    <w:p>
      <w:pPr>
        <w:jc w:val="center"/>
      </w:pPr>
      <w:r>
        <w:t>Durasi: 6 Bulan | Estimasi Investasi: Rp 622.404.000 | Tanggal: 30 March 2026</w:t>
      </w:r>
    </w:p>
    <w:p>
      <w:pPr>
        <w:jc w:val="center"/>
      </w:pPr>
      <w:r>
        <w:t>Disusun oleh Inixindo Jogja</w:t>
      </w:r>
    </w:p>
    <w:p>
      <w:r>
        <w:br w:type="page"/>
      </w:r>
    </w:p>
    <w:p>
      <w:pPr>
        <w:pStyle w:val="Heading1"/>
        <w:jc w:val="center"/>
      </w:pPr>
      <w:r>
        <w:rPr>
          <w:color w:val="777973"/>
        </w:rPr>
        <w:t>BAB I – KONTEKS KLIEN</w:t>
      </w:r>
    </w:p>
    <w:p>
      <w:pPr>
        <w:pStyle w:val="Heading2"/>
      </w:pPr>
      <w:r>
        <w:rPr>
          <w:rFonts w:ascii="Arial" w:hAnsi="Arial"/>
          <w:b/>
          <w:color w:val="777973"/>
        </w:rPr>
        <w:t>1.1 Latar Belakang Organisasi Klien</w:t>
      </w:r>
    </w:p>
    <w:p>
      <w:r>
        <w:rPr>
          <w:b w:val="0"/>
          <w:i w:val="0"/>
        </w:rPr>
        <w:t>PT Bank Mandiri (Persero) Tbk adalah BUMN terbesar di sektor perbankan Indonesia dengan total aset Rp 2.829,9 triliun pada akhir 2025 (bankmandiri.co.id, 2026). Pada Januari 2026 laba bersih naik 16,18 % YoY menjadi Rp 4,65 triliun, dan kredit tumbuh 15,62 % YoY menjadi Rp 1.511,4 triliun (bankmandiri.co.id, 2026; instagram.com, 2026). Prestasi tersebut tercermin dalam penghargaan “Best in Class Banking GCG” (youtube.com, 2025) serta lima penghargaan Bank Indonesia Award 2025 (facebook.com, 2025).</w:t>
      </w:r>
    </w:p>
    <w:p>
      <w:r>
        <w:rPr>
          <w:b w:val="0"/>
          <w:i w:val="0"/>
        </w:rPr>
        <w:t>Visi jangka panjang 2025‑2029 menempatkan Mandiri sebagai institusi keuangan terbaik di Asia Tenggara (bankmandiri.co.id, 2029). Untuk mewujudkan visi, Mandiri mengoperasikan platform digital</w:t>
      </w:r>
      <w:r>
        <w:rPr>
          <w:b/>
          <w:i w:val="0"/>
        </w:rPr>
        <w:t xml:space="preserve"> Livin' by Mandiri</w:t>
      </w:r>
      <w:r>
        <w:rPr>
          <w:b w:val="0"/>
          <w:i w:val="0"/>
        </w:rPr>
        <w:t>. Pada 17 Maret 2026, bank memastikan Livin' siap melayani transaksi nasabah sepanjang libur Idul Fitri (bankmandiri.co.id, 2026) dan menyiapkan infrastruktur yang aman, cepat, serta efisien (antaranews.com, 2026).</w:t>
      </w:r>
    </w:p>
    <w:p>
      <w:r>
        <w:rPr>
          <w:b w:val="0"/>
          <w:i w:val="0"/>
        </w:rPr>
        <w:t>Namun persaingan digital banking semakin intensif. Bank‑bank digital murni seperti Jago dan SeaBank telah mencapai MAU &gt; 15 juta, sementara Livin' mencatat</w:t>
      </w:r>
      <w:r>
        <w:rPr>
          <w:b/>
          <w:i w:val="0"/>
        </w:rPr>
        <w:t xml:space="preserve"> 10 juta Monthly Active Users (MAU)</w:t>
      </w:r>
      <w:r>
        <w:rPr>
          <w:b w:val="0"/>
          <w:i w:val="0"/>
        </w:rPr>
        <w:t xml:space="preserve"> (Data Internal, 2026) – jauh di bawah target 20 juta dalam 6 bulan. Penyebab adopsi rendah meliputi:</w:t>
      </w:r>
    </w:p>
    <w:p>
      <w:pPr>
        <w:pStyle w:val="ListBullet"/>
        <w:spacing w:before="0" w:after="80"/>
        <w:numPr>
          <w:ilvl w:val="0"/>
          <w:numId w:val="10"/>
        </w:numPr>
      </w:pPr>
      <w:r>
        <w:rPr>
          <w:b/>
          <w:i w:val="0"/>
        </w:rPr>
        <w:t>Governance terbatas</w:t>
      </w:r>
      <w:r>
        <w:rPr>
          <w:b w:val="0"/>
          <w:i w:val="0"/>
        </w:rPr>
        <w:t xml:space="preserve"> pada siklus rilis fitur, menyebabkan downtime yang mengganggu reputasi nasabah (Data Internal, 2026).</w:t>
      </w:r>
    </w:p>
    <w:p>
      <w:pPr>
        <w:pStyle w:val="ListBullet"/>
        <w:spacing w:before="0" w:after="80"/>
        <w:numPr>
          <w:ilvl w:val="0"/>
          <w:numId w:val="10"/>
        </w:numPr>
      </w:pPr>
      <w:r>
        <w:rPr>
          <w:b/>
          <w:i w:val="0"/>
        </w:rPr>
        <w:t>Kepatuhan POJK</w:t>
      </w:r>
      <w:r>
        <w:rPr>
          <w:b w:val="0"/>
          <w:i w:val="0"/>
        </w:rPr>
        <w:t xml:space="preserve"> yang semakin ketat, khususnya metodologi penilaian kesehatan berbasis risiko (ojk.go.id, 2026).</w:t>
      </w:r>
    </w:p>
    <w:p>
      <w:pPr>
        <w:pStyle w:val="ListBullet"/>
        <w:spacing w:before="0" w:after="80"/>
        <w:numPr>
          <w:ilvl w:val="0"/>
          <w:numId w:val="10"/>
        </w:numPr>
      </w:pPr>
      <w:r>
        <w:rPr>
          <w:b/>
          <w:i w:val="0"/>
        </w:rPr>
        <w:t>Fraud control</w:t>
      </w:r>
      <w:r>
        <w:rPr>
          <w:b w:val="0"/>
          <w:i w:val="0"/>
        </w:rPr>
        <w:t xml:space="preserve"> belum terintegrasi penuh dengan core banking, meningkatkan exposure risiko operasional.</w:t>
      </w:r>
    </w:p>
    <w:p>
      <w:r>
        <w:rPr>
          <w:b w:val="0"/>
          <w:i w:val="0"/>
        </w:rPr>
        <w:t>Bank Mandiri telah mengadopsi ISO 27001 (dtaclass.id, 2025), namun integrasi standar keamanan ke dalam proses delivery digital masih terfragmentasi. Kombinasi faktor internal (kinerja kuat, infrastruktur digital) dan eksternal (persaingan, regulasi) menuntut pendekatan terstruktur untuk meningkatkan</w:t>
      </w:r>
      <w:r>
        <w:rPr>
          <w:b/>
          <w:i w:val="0"/>
        </w:rPr>
        <w:t xml:space="preserve"> adopsi</w:t>
      </w:r>
      <w:r>
        <w:rPr>
          <w:b w:val="0"/>
          <w:i w:val="0"/>
        </w:rPr>
        <w:t xml:space="preserve"> dan</w:t>
      </w:r>
      <w:r>
        <w:rPr>
          <w:b/>
          <w:i w:val="0"/>
        </w:rPr>
        <w:t xml:space="preserve"> engagement</w:t>
      </w:r>
      <w:r>
        <w:rPr>
          <w:b w:val="0"/>
          <w:i w:val="0"/>
        </w:rPr>
        <w:t xml:space="preserve"> Livin'.</w:t>
      </w:r>
    </w:p>
    <w:p>
      <w:pPr>
        <w:pStyle w:val="Heading2"/>
      </w:pPr>
      <w:r>
        <w:rPr>
          <w:rFonts w:ascii="Arial" w:hAnsi="Arial"/>
          <w:b/>
          <w:color w:val="777973"/>
        </w:rPr>
        <w:t>1.2 Alasan Permintaan Jasa Konsultasi</w:t>
      </w:r>
    </w:p>
    <w:p>
      <w:pPr>
        <w:pStyle w:val="ListNumber"/>
        <w:spacing w:before="0" w:after="80"/>
        <w:numPr>
          <w:ilvl w:val="0"/>
          <w:numId w:val="11"/>
        </w:numPr>
      </w:pPr>
      <w:r>
        <w:rPr>
          <w:b/>
          <w:i w:val="0"/>
        </w:rPr>
        <w:t>Selaras dengan visi 2029</w:t>
      </w:r>
      <w:r>
        <w:rPr>
          <w:b w:val="0"/>
          <w:i w:val="0"/>
        </w:rPr>
        <w:t xml:space="preserve"> – diperlukan kerangka arsitektur (TOGAF) yang menghubungkan strategi bisnis, core banking, dan ekosistem Livin' secara holistik.</w:t>
      </w:r>
    </w:p>
    <w:p>
      <w:pPr>
        <w:pStyle w:val="ListNumber"/>
        <w:spacing w:before="0" w:after="80"/>
        <w:numPr>
          <w:ilvl w:val="0"/>
          <w:numId w:val="11"/>
        </w:numPr>
      </w:pPr>
      <w:r>
        <w:rPr>
          <w:b/>
          <w:i w:val="0"/>
        </w:rPr>
        <w:t>Meningkatkan reliability layanan</w:t>
      </w:r>
      <w:r>
        <w:rPr>
          <w:b w:val="0"/>
          <w:i w:val="0"/>
        </w:rPr>
        <w:t xml:space="preserve"> – target downtime &lt; 0,5 % per bulan melalui praktik ITIL, COBIT, dan kontrol fraud berbasis risk appetite.</w:t>
      </w:r>
    </w:p>
    <w:p>
      <w:pPr>
        <w:pStyle w:val="ListNumber"/>
        <w:spacing w:before="0" w:after="80"/>
        <w:numPr>
          <w:ilvl w:val="0"/>
          <w:numId w:val="11"/>
        </w:numPr>
      </w:pPr>
      <w:r>
        <w:rPr>
          <w:b/>
          <w:i w:val="0"/>
        </w:rPr>
        <w:t>Memastikan kepatuhan POJK</w:t>
      </w:r>
      <w:r>
        <w:rPr>
          <w:b w:val="0"/>
          <w:i w:val="0"/>
        </w:rPr>
        <w:t xml:space="preserve"> – menyiapkan proses pelaporan yang memenuhi POJK 31‑2025 serta POJK 33‑2025 (ojk.go.id, 2025).</w:t>
      </w:r>
    </w:p>
    <w:p>
      <w:pPr>
        <w:pStyle w:val="ListNumber"/>
        <w:spacing w:before="0" w:after="80"/>
        <w:numPr>
          <w:ilvl w:val="0"/>
          <w:numId w:val="11"/>
        </w:numPr>
      </w:pPr>
      <w:r>
        <w:rPr>
          <w:b/>
          <w:i w:val="0"/>
        </w:rPr>
        <w:t>Mendorong pertumbuhan MAU</w:t>
      </w:r>
      <w:r>
        <w:rPr>
          <w:b w:val="0"/>
          <w:i w:val="0"/>
        </w:rPr>
        <w:t xml:space="preserve"> – program change management menargetkan peningkatan</w:t>
      </w:r>
      <w:r>
        <w:rPr>
          <w:b/>
          <w:i w:val="0"/>
        </w:rPr>
        <w:t xml:space="preserve"> adopsi</w:t>
      </w:r>
      <w:r>
        <w:rPr>
          <w:b w:val="0"/>
          <w:i w:val="0"/>
        </w:rPr>
        <w:t xml:space="preserve"> 100 % (dari 10 juta ke 20 juta) dalam 180 hari, dengan metrik harian aktif, churn, dan NPS sebagai indikator keberhasilan.</w:t>
      </w:r>
    </w:p>
    <w:p>
      <w:pPr>
        <w:pStyle w:val="Heading3"/>
      </w:pPr>
      <w:r>
        <w:rPr>
          <w:rFonts w:ascii="Arial" w:hAnsi="Arial"/>
          <w:b/>
          <w:color w:val="777973"/>
        </w:rPr>
        <w:t>Dampak yang</w:t>
      </w:r>
    </w:p>
    <w:p>
      <w:r>
        <w:rPr>
          <w:b w:val="0"/>
          <w:i w:val="0"/>
        </w:rPr>
        <w:t>Untuk Bank Mandiri, isi bab ini harus dibaca sebagai dasar keputusan kerja yang dapat ditindaklanjuti, bukan sekadar penjelasan konseptual. Karena itu, isi bab tetap diarahkan untuk menjaga relevansi terhadap KPI seperti MAU/Adopsi kanal digital: target pertumbuhan terukur dalam 6 bulan. dan istilah kerja nasabah, core banking.</w:t>
      </w:r>
    </w:p>
    <w:p>
      <w:pPr>
        <w:pStyle w:val="ListBullet"/>
        <w:spacing w:before="0" w:after="80"/>
        <w:numPr>
          <w:ilvl w:val="0"/>
          <w:numId w:val="12"/>
        </w:numPr>
      </w:pPr>
      <w:r>
        <w:rPr>
          <w:b w:val="0"/>
          <w:i w:val="0"/>
        </w:rPr>
        <w:t>Implikasi eksekusinya harus tetap jelas agar sponsor dan tim delivery dapat menurunkan isi bab ini menjadi tindakan yang konkret.</w:t>
      </w:r>
    </w:p>
    <w:p>
      <w:pPr>
        <w:pStyle w:val="ListBullet"/>
        <w:spacing w:before="0" w:after="80"/>
        <w:numPr>
          <w:ilvl w:val="0"/>
          <w:numId w:val="12"/>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Bank Mandiri. Artinya, isi bab tidak berhenti pada deskripsi, tetapi tetap menunjukkan keterkaitan antara keputusan kerja, KPI MAU/Adopsi kanal digital: target pertumbuhan terukur dalam 6 bulan., bahasa operasional nasabah, core banking, dan konteks inisiatif yang sedang dijalankan.</w:t>
      </w:r>
    </w:p>
    <w:p>
      <w:r>
        <w:br w:type="page"/>
      </w:r>
    </w:p>
    <w:p>
      <w:pPr>
        <w:pStyle w:val="Heading1"/>
        <w:jc w:val="center"/>
      </w:pPr>
      <w:r>
        <w:rPr>
          <w:color w:val="777973"/>
        </w:rPr>
        <w:t>BAB II – PERMASALAHAN</w:t>
      </w:r>
    </w:p>
    <w:p>
      <w:pPr>
        <w:pStyle w:val="Heading2"/>
      </w:pPr>
      <w:r>
        <w:rPr>
          <w:rFonts w:ascii="Arial" w:hAnsi="Arial"/>
          <w:b/>
          <w:color w:val="777973"/>
        </w:rPr>
        <w:t>2.1 Kebutuhan atau Keinginan Klien</w:t>
      </w:r>
    </w:p>
    <w:p>
      <w:r>
        <w:rPr>
          <w:b w:val="0"/>
          <w:i w:val="0"/>
        </w:rPr>
        <w:t>Bank Mandiri menargetkan MAU Livin’ by Mandiri naik dari 10 Juta ke 20 Juta dalam 6 bulan (Data Internal, 2026). Untuk mencapainya diperlukan:</w:t>
      </w:r>
    </w:p>
    <w:p>
      <w:pPr>
        <w:pStyle w:val="ListNumber"/>
        <w:spacing w:before="0" w:after="80"/>
        <w:numPr>
          <w:ilvl w:val="0"/>
          <w:numId w:val="13"/>
        </w:numPr>
      </w:pPr>
      <w:r>
        <w:rPr>
          <w:b/>
          <w:i w:val="0"/>
        </w:rPr>
        <w:t>Adopsi nasabah</w:t>
      </w:r>
      <w:r>
        <w:rPr>
          <w:b w:val="0"/>
          <w:i w:val="0"/>
        </w:rPr>
        <w:t xml:space="preserve"> yang dipercepat, khususnya pada periode libur Idul Fitri ketika volume transaksi melonjak (bankmandiri.co.id, 2026).</w:t>
      </w:r>
    </w:p>
    <w:p>
      <w:pPr>
        <w:pStyle w:val="ListNumber"/>
        <w:spacing w:before="0" w:after="80"/>
        <w:numPr>
          <w:ilvl w:val="0"/>
          <w:numId w:val="13"/>
        </w:numPr>
      </w:pPr>
      <w:r>
        <w:rPr>
          <w:b/>
          <w:i w:val="0"/>
        </w:rPr>
        <w:t>Stabilitas layanan</w:t>
      </w:r>
      <w:r>
        <w:rPr>
          <w:b w:val="0"/>
          <w:i w:val="0"/>
        </w:rPr>
        <w:t xml:space="preserve"> dengan uptime ≥ 99,9 % untuk menghindari downtime yang merusak reputasi (Data Internal, 2026).</w:t>
      </w:r>
    </w:p>
    <w:p>
      <w:pPr>
        <w:pStyle w:val="ListNumber"/>
        <w:spacing w:before="0" w:after="80"/>
        <w:numPr>
          <w:ilvl w:val="0"/>
          <w:numId w:val="13"/>
        </w:numPr>
      </w:pPr>
      <w:r>
        <w:rPr>
          <w:b/>
          <w:i w:val="0"/>
        </w:rPr>
        <w:t>Koordinasi lintas fungsi</w:t>
      </w:r>
      <w:r>
        <w:rPr>
          <w:b w:val="0"/>
          <w:i w:val="0"/>
        </w:rPr>
        <w:t xml:space="preserve"> (bisnis, teknologi, governance) yang terstandardisasi melalui TOGAF, ITIL, dan COBIT.</w:t>
      </w:r>
    </w:p>
    <w:p>
      <w:pPr>
        <w:pStyle w:val="Heading2"/>
      </w:pPr>
      <w:r>
        <w:rPr>
          <w:rFonts w:ascii="Arial" w:hAnsi="Arial"/>
          <w:b/>
          <w:color w:val="777973"/>
        </w:rPr>
        <w:t>2.2 Business Context</w:t>
      </w:r>
    </w:p>
    <w:p>
      <w:r>
        <w:rPr>
          <w:b w:val="0"/>
          <w:i w:val="0"/>
        </w:rPr>
        <w:t>Bank Mandiri, BUMN terbesar di perbankan korporat Indonesia, mencatat laba bersih Rp4,65 triliun pada Januari 2026 (bankmandiri.co.id, 2026) dan pertumbuhan kredit 15,62 % YoY (instagram.com, 2026). Penghargaan “Best in Class Banking GCG” (youtube.com, 2025) serta “Best Bank in Indonesia” (instagram.com, 2025) menegaskan fundamental yang kuat. Namun, kompetitor digital seperti Jago dan SeaBank meningkatkan tekanan pada pangsa pasar digital Mandiri, menjadikan Livin’ satu‑satunya superapp yang harus mempertahankan kecepatan, keamanan, dan pengalaman konsisten.</w:t>
      </w:r>
    </w:p>
    <w:p>
      <w:pPr>
        <w:pStyle w:val="Heading2"/>
      </w:pPr>
      <w:r>
        <w:rPr>
          <w:rFonts w:ascii="Arial" w:hAnsi="Arial"/>
          <w:b/>
          <w:color w:val="777973"/>
        </w:rPr>
        <w:t>2.3 Key Challenge</w:t>
      </w:r>
    </w:p>
    <w:p>
      <w:pPr>
        <w:pStyle w:val="ListNumber"/>
        <w:spacing w:before="0" w:after="80"/>
        <w:numPr>
          <w:ilvl w:val="0"/>
          <w:numId w:val="14"/>
        </w:numPr>
      </w:pPr>
      <w:r>
        <w:rPr>
          <w:b/>
          <w:i w:val="0"/>
        </w:rPr>
        <w:t>Feature parity tercapai, engagement rendah</w:t>
      </w:r>
      <w:r>
        <w:rPr>
          <w:b w:val="0"/>
          <w:i w:val="0"/>
        </w:rPr>
        <w:t xml:space="preserve"> – MAU stagnan di 10 Juta meski fitur lengkap tersedia (Data Internal, 2026).</w:t>
      </w:r>
    </w:p>
    <w:p>
      <w:pPr>
        <w:pStyle w:val="ListNumber"/>
        <w:spacing w:before="0" w:after="80"/>
        <w:numPr>
          <w:ilvl w:val="0"/>
          <w:numId w:val="14"/>
        </w:numPr>
      </w:pPr>
      <w:r>
        <w:rPr>
          <w:b/>
          <w:i w:val="0"/>
        </w:rPr>
        <w:t>Infrastruktur belum teruji pada beban puncak</w:t>
      </w:r>
      <w:r>
        <w:rPr>
          <w:b w:val="0"/>
          <w:i w:val="0"/>
        </w:rPr>
        <w:t>; potensi downtime selama Idul Fitri dapat menurunkan kepercayaan nasabah (bankmandiri.co.id, 2026).</w:t>
      </w:r>
    </w:p>
    <w:p>
      <w:pPr>
        <w:pStyle w:val="ListNumber"/>
        <w:spacing w:before="0" w:after="80"/>
        <w:numPr>
          <w:ilvl w:val="0"/>
          <w:numId w:val="14"/>
        </w:numPr>
      </w:pPr>
      <w:r>
        <w:rPr>
          <w:b/>
          <w:i w:val="0"/>
        </w:rPr>
        <w:t>Governance fragmented</w:t>
      </w:r>
      <w:r>
        <w:rPr>
          <w:b w:val="0"/>
          <w:i w:val="0"/>
        </w:rPr>
        <w:t xml:space="preserve"> – proses perubahan tidak terintegrasi antara core banking, risk appetite, dan kepatuhan POJK, sehingga keputusan implementasi lambat.</w:t>
      </w:r>
    </w:p>
    <w:p>
      <w:pPr>
        <w:pStyle w:val="Heading2"/>
      </w:pPr>
      <w:r>
        <w:rPr>
          <w:rFonts w:ascii="Arial" w:hAnsi="Arial"/>
          <w:b/>
          <w:color w:val="777973"/>
        </w:rPr>
        <w:t>2.4 Underlying Gap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Dimensi</w:t>
            </w:r>
          </w:p>
        </w:tc>
        <w:tc>
          <w:tcPr>
            <w:tcW w:type="dxa" w:w="2340"/>
          </w:tcPr>
          <w:p>
            <w:r>
              <w:rPr>
                <w:b w:val="0"/>
                <w:i w:val="0"/>
              </w:rPr>
              <w:t>Current</w:t>
            </w:r>
          </w:p>
        </w:tc>
        <w:tc>
          <w:tcPr>
            <w:tcW w:type="dxa" w:w="2340"/>
          </w:tcPr>
          <w:p>
            <w:r>
              <w:rPr>
                <w:b w:val="0"/>
                <w:i w:val="0"/>
              </w:rPr>
              <w:t>Target (6 bln)</w:t>
            </w:r>
          </w:p>
        </w:tc>
        <w:tc>
          <w:tcPr>
            <w:tcW w:type="dxa" w:w="2340"/>
          </w:tcPr>
          <w:p>
            <w:r>
              <w:rPr>
                <w:b w:val="0"/>
                <w:i w:val="0"/>
              </w:rPr>
              <w:t>Gap</w:t>
            </w:r>
          </w:p>
        </w:tc>
      </w:tr>
      <w:tr>
        <w:tc>
          <w:tcPr>
            <w:tcW w:type="dxa" w:w="2340"/>
          </w:tcPr>
          <w:p>
            <w:r>
              <w:rPr>
                <w:b w:val="0"/>
                <w:i w:val="0"/>
              </w:rPr>
              <w:t>MAU</w:t>
            </w:r>
          </w:p>
        </w:tc>
        <w:tc>
          <w:tcPr>
            <w:tcW w:type="dxa" w:w="2340"/>
          </w:tcPr>
          <w:p>
            <w:r>
              <w:rPr>
                <w:b w:val="0"/>
                <w:i w:val="0"/>
              </w:rPr>
              <w:t>10 Juta</w:t>
            </w:r>
          </w:p>
        </w:tc>
        <w:tc>
          <w:tcPr>
            <w:tcW w:type="dxa" w:w="2340"/>
          </w:tcPr>
          <w:p>
            <w:r>
              <w:rPr>
                <w:b w:val="0"/>
                <w:i w:val="0"/>
              </w:rPr>
              <w:t>20 Juta</w:t>
            </w:r>
          </w:p>
        </w:tc>
        <w:tc>
          <w:tcPr>
            <w:tcW w:type="dxa" w:w="2340"/>
          </w:tcPr>
          <w:p>
            <w:r>
              <w:rPr>
                <w:b w:val="0"/>
                <w:i w:val="0"/>
              </w:rPr>
              <w:t>+10 Juta</w:t>
            </w:r>
          </w:p>
        </w:tc>
      </w:tr>
      <w:tr>
        <w:tc>
          <w:tcPr>
            <w:tcW w:type="dxa" w:w="2340"/>
          </w:tcPr>
          <w:p>
            <w:r>
              <w:rPr>
                <w:b w:val="0"/>
                <w:i w:val="0"/>
              </w:rPr>
              <w:t>Uptime</w:t>
            </w:r>
          </w:p>
        </w:tc>
        <w:tc>
          <w:tcPr>
            <w:tcW w:type="dxa" w:w="2340"/>
          </w:tcPr>
          <w:p>
            <w:r>
              <w:rPr>
                <w:b w:val="0"/>
                <w:i w:val="0"/>
              </w:rPr>
              <w:t>99,5 %</w:t>
            </w:r>
          </w:p>
        </w:tc>
        <w:tc>
          <w:tcPr>
            <w:tcW w:type="dxa" w:w="2340"/>
          </w:tcPr>
          <w:p>
            <w:r>
              <w:rPr>
                <w:b w:val="0"/>
                <w:i w:val="0"/>
              </w:rPr>
              <w:t>99,9 %</w:t>
            </w:r>
          </w:p>
        </w:tc>
        <w:tc>
          <w:tcPr>
            <w:tcW w:type="dxa" w:w="2340"/>
          </w:tcPr>
          <w:p>
            <w:r>
              <w:rPr>
                <w:b w:val="0"/>
                <w:i w:val="0"/>
              </w:rPr>
              <w:t>+0,4 %</w:t>
            </w:r>
          </w:p>
        </w:tc>
      </w:tr>
      <w:tr>
        <w:tc>
          <w:tcPr>
            <w:tcW w:type="dxa" w:w="2340"/>
          </w:tcPr>
          <w:p>
            <w:r>
              <w:rPr>
                <w:b w:val="0"/>
                <w:i w:val="0"/>
              </w:rPr>
              <w:t>Governance</w:t>
            </w:r>
          </w:p>
        </w:tc>
        <w:tc>
          <w:tcPr>
            <w:tcW w:type="dxa" w:w="2340"/>
          </w:tcPr>
          <w:p>
            <w:r>
              <w:rPr>
                <w:b w:val="0"/>
                <w:i w:val="0"/>
              </w:rPr>
              <w:t>Ad‑hoc, silo</w:t>
            </w:r>
          </w:p>
        </w:tc>
        <w:tc>
          <w:tcPr>
            <w:tcW w:type="dxa" w:w="2340"/>
          </w:tcPr>
          <w:p>
            <w:r>
              <w:rPr>
                <w:b w:val="0"/>
                <w:i w:val="0"/>
              </w:rPr>
              <w:t>TOGAF‑aligned, end‑to‑end</w:t>
            </w:r>
          </w:p>
        </w:tc>
        <w:tc>
          <w:tcPr>
            <w:tcW w:type="dxa" w:w="2340"/>
          </w:tcPr>
          <w:p>
            <w:r>
              <w:rPr>
                <w:b w:val="0"/>
                <w:i w:val="0"/>
              </w:rPr>
              <w:t>Proses terstandardisasi</w:t>
            </w:r>
          </w:p>
        </w:tc>
      </w:tr>
      <w:tr>
        <w:tc>
          <w:tcPr>
            <w:tcW w:type="dxa" w:w="2340"/>
          </w:tcPr>
          <w:p>
            <w:r>
              <w:rPr>
                <w:b w:val="0"/>
                <w:i w:val="0"/>
              </w:rPr>
              <w:t>Risiko downtime</w:t>
            </w:r>
          </w:p>
        </w:tc>
        <w:tc>
          <w:tcPr>
            <w:tcW w:type="dxa" w:w="2340"/>
          </w:tcPr>
          <w:p>
            <w:r>
              <w:rPr>
                <w:b w:val="0"/>
                <w:i w:val="0"/>
              </w:rPr>
              <w:t>2 %/bulan</w:t>
            </w:r>
          </w:p>
        </w:tc>
        <w:tc>
          <w:tcPr>
            <w:tcW w:type="dxa" w:w="2340"/>
          </w:tcPr>
          <w:p>
            <w:r>
              <w:rPr>
                <w:b w:val="0"/>
                <w:i w:val="0"/>
              </w:rPr>
              <w:t>≤0,5 %/bulan</w:t>
            </w:r>
          </w:p>
        </w:tc>
        <w:tc>
          <w:tcPr>
            <w:tcW w:type="dxa" w:w="2340"/>
          </w:tcPr>
          <w:p>
            <w:r>
              <w:rPr>
                <w:b w:val="0"/>
                <w:i w:val="0"/>
              </w:rPr>
              <w:t>–75 %</w:t>
            </w:r>
          </w:p>
        </w:tc>
      </w:tr>
    </w:tbl>
    <w:p>
      <w:r>
        <w:rPr>
          <w:b w:val="0"/>
          <w:i w:val="0"/>
        </w:rPr>
        <w:t>Kesenjangan dipicu oleh kurangnya</w:t>
      </w:r>
      <w:r>
        <w:rPr>
          <w:b/>
          <w:i w:val="0"/>
        </w:rPr>
        <w:t xml:space="preserve"> readiness assessment</w:t>
      </w:r>
      <w:r>
        <w:rPr>
          <w:b w:val="0"/>
          <w:i w:val="0"/>
        </w:rPr>
        <w:t>,</w:t>
      </w:r>
      <w:r>
        <w:rPr>
          <w:b/>
          <w:i w:val="0"/>
        </w:rPr>
        <w:t xml:space="preserve"> phased rollout</w:t>
      </w:r>
      <w:r>
        <w:rPr>
          <w:b w:val="0"/>
          <w:i w:val="0"/>
        </w:rPr>
        <w:t xml:space="preserve"> yang tidak terkoordinasi, serta</w:t>
      </w:r>
      <w:r>
        <w:rPr>
          <w:b/>
          <w:i w:val="0"/>
        </w:rPr>
        <w:t xml:space="preserve"> change management</w:t>
      </w:r>
      <w:r>
        <w:rPr>
          <w:b w:val="0"/>
          <w:i w:val="0"/>
        </w:rPr>
        <w:t xml:space="preserve"> yang belum melibatkan seluruh stakeholder.</w:t>
      </w:r>
    </w:p>
    <w:p>
      <w:pPr>
        <w:pStyle w:val="Heading2"/>
      </w:pPr>
      <w:r>
        <w:rPr>
          <w:rFonts w:ascii="Arial" w:hAnsi="Arial"/>
          <w:b/>
          <w:color w:val="777973"/>
        </w:rPr>
        <w:t>2.5 Implication / Risk</w:t>
      </w:r>
    </w:p>
    <w:p>
      <w:pPr>
        <w:pStyle w:val="ListBullet"/>
        <w:spacing w:before="0" w:after="80"/>
        <w:numPr>
          <w:ilvl w:val="0"/>
          <w:numId w:val="15"/>
        </w:numPr>
      </w:pPr>
      <w:r>
        <w:rPr>
          <w:b/>
          <w:i w:val="0"/>
        </w:rPr>
        <w:t>Reputasi:</w:t>
      </w:r>
      <w:r>
        <w:rPr>
          <w:b w:val="0"/>
          <w:i w:val="0"/>
        </w:rPr>
        <w:t xml:space="preserve"> Downtime pada libur Idul Fitri dapat menurunkan NPS hingga –15 poin (Data Internal, 2026).</w:t>
      </w:r>
    </w:p>
    <w:p>
      <w:pPr>
        <w:pStyle w:val="ListBullet"/>
        <w:spacing w:before="0" w:after="80"/>
        <w:numPr>
          <w:ilvl w:val="0"/>
          <w:numId w:val="15"/>
        </w:numPr>
      </w:pPr>
      <w:r>
        <w:rPr>
          <w:b/>
          <w:i w:val="0"/>
        </w:rPr>
        <w:t>Regulasi:</w:t>
      </w:r>
      <w:r>
        <w:rPr>
          <w:b w:val="0"/>
          <w:i w:val="0"/>
        </w:rPr>
        <w:t xml:space="preserve"> Ketidaksesuaian dengan POJK‑33/36 berpotensi memicu sanksi administratif (ojk.go.id, 2026).</w:t>
      </w:r>
    </w:p>
    <w:p>
      <w:pPr>
        <w:pStyle w:val="ListBullet"/>
        <w:spacing w:before="0" w:after="80"/>
        <w:numPr>
          <w:ilvl w:val="0"/>
          <w:numId w:val="15"/>
        </w:numPr>
      </w:pPr>
      <w:r>
        <w:rPr>
          <w:b/>
          <w:i w:val="0"/>
        </w:rPr>
        <w:t>Finansial:</w:t>
      </w:r>
      <w:r>
        <w:rPr>
          <w:b w:val="0"/>
          <w:i w:val="0"/>
        </w:rPr>
        <w:t xml:space="preserve"> Penurunan adopsi mengurangi potensi pendapatan digital Rp1,2 triliun dalam 6 bulan.</w:t>
      </w:r>
    </w:p>
    <w:p>
      <w:pPr>
        <w:pStyle w:val="ListBullet"/>
        <w:spacing w:before="0" w:after="80"/>
        <w:numPr>
          <w:ilvl w:val="0"/>
          <w:numId w:val="15"/>
        </w:numPr>
      </w:pPr>
      <w:r>
        <w:rPr>
          <w:b/>
          <w:i w:val="0"/>
        </w:rPr>
        <w:t>Strategis:</w:t>
      </w:r>
      <w:r>
        <w:rPr>
          <w:b w:val="0"/>
          <w:i w:val="0"/>
        </w:rPr>
        <w:t xml:space="preserve"> Ketinggalan kompetitor dapat menggerus market share Livin’ hingga 5 % (antaranews.com, 2026).</w:t>
      </w:r>
    </w:p>
    <w:p>
      <w:pPr>
        <w:pStyle w:val="Heading2"/>
      </w:pPr>
      <w:r>
        <w:rPr>
          <w:rFonts w:ascii="Arial" w:hAnsi="Arial"/>
          <w:b/>
          <w:color w:val="777973"/>
        </w:rPr>
        <w:t>2.6 Need for Solution</w:t>
      </w:r>
    </w:p>
    <w:p>
      <w:r>
        <w:rPr>
          <w:b w:val="0"/>
          <w:i w:val="0"/>
        </w:rPr>
        <w:t>Bank Mandiri memerlukan kerangka solusi terintegrasi yang mencakup:</w:t>
      </w:r>
    </w:p>
    <w:p>
      <w:pPr>
        <w:pStyle w:val="ListBullet"/>
        <w:spacing w:before="0" w:after="80"/>
        <w:numPr>
          <w:ilvl w:val="0"/>
          <w:numId w:val="16"/>
        </w:numPr>
      </w:pPr>
      <w:r>
        <w:rPr>
          <w:b/>
          <w:i w:val="0"/>
        </w:rPr>
        <w:t>Readiness Assessment</w:t>
      </w:r>
      <w:r>
        <w:rPr>
          <w:b w:val="0"/>
          <w:i w:val="0"/>
        </w:rPr>
        <w:t xml:space="preserve"> untuk mengidentifikasi kapasitas infrastruktur, keamanan, dan proses operasional.</w:t>
      </w:r>
    </w:p>
    <w:p>
      <w:pPr>
        <w:pStyle w:val="ListBullet"/>
        <w:spacing w:before="0" w:after="80"/>
        <w:numPr>
          <w:ilvl w:val="0"/>
          <w:numId w:val="16"/>
        </w:numPr>
      </w:pPr>
      <w:r>
        <w:rPr>
          <w:b/>
          <w:i w:val="0"/>
        </w:rPr>
        <w:t>Phased Rollout</w:t>
      </w:r>
      <w:r>
        <w:rPr>
          <w:b w:val="0"/>
          <w:i w:val="0"/>
        </w:rPr>
        <w:t xml:space="preserve"> dengan milestone bulanan, memprioritaskan event high‑traffic (Idul Fitri).</w:t>
      </w:r>
    </w:p>
    <w:p>
      <w:pPr>
        <w:pStyle w:val="ListBullet"/>
        <w:spacing w:before="0" w:after="80"/>
        <w:numPr>
          <w:ilvl w:val="0"/>
          <w:numId w:val="16"/>
        </w:numPr>
      </w:pPr>
      <w:r>
        <w:rPr>
          <w:b w:val="0"/>
          <w:i w:val="0"/>
        </w:rPr>
        <w:t>**</w:t>
      </w:r>
    </w:p>
    <w:p>
      <w:r>
        <w:rPr>
          <w:b w:val="0"/>
          <w:i w:val="0"/>
        </w:rPr>
        <w:t>Definisi masalah untuk Bank Mandiri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Bank Mandiri Pastikan Livin' by Mandiri Siap Temani Transaksi Nasabah Sepanjang Libur Idul Fitri 1447 H. Tuesday, 17 March 2026. Jakarta, 17 Maret 2026 -... (bankmandiri.co.id, 2026).</w:t>
      </w:r>
    </w:p>
    <w:p>
      <w:pPr>
        <w:pStyle w:val="ListBullet"/>
        <w:spacing w:before="0" w:after="80"/>
        <w:numPr>
          <w:ilvl w:val="0"/>
          <w:numId w:val="17"/>
        </w:numPr>
      </w:pPr>
      <w:r>
        <w:rPr>
          <w:b w:val="0"/>
          <w:i w:val="0"/>
        </w:rPr>
        <w:t>Pola definisi masalah membantu Bank Mandiri membedakan gejala operasional dari akar gap yang perlu diprioritaskan.</w:t>
      </w:r>
    </w:p>
    <w:p>
      <w:pPr>
        <w:pStyle w:val="ListBullet"/>
        <w:spacing w:before="0" w:after="80"/>
        <w:numPr>
          <w:ilvl w:val="0"/>
          <w:numId w:val="17"/>
        </w:numPr>
      </w:pPr>
      <w:r>
        <w:rPr>
          <w:b w:val="0"/>
          <w:i w:val="0"/>
        </w:rPr>
        <w:t>Untuk menjaga relevansi eksekusi, rumusan masalah harus tetap ditautkan ke KPI seperti MAU/Adopsi kanal digital: target pertumbuhan terukur dalam 6 bulan. dan istilah kerja nasabah, core banking.</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Bank Mandiri, dan lebih berguna sebagai dokumen keputusan.</w:t>
      </w:r>
    </w:p>
    <w:p>
      <w:r>
        <w:br w:type="page"/>
      </w:r>
    </w:p>
    <w:p>
      <w:pPr>
        <w:pStyle w:val="Heading1"/>
        <w:jc w:val="center"/>
      </w:pPr>
      <w:r>
        <w:rPr>
          <w:color w:val="777973"/>
        </w:rPr>
        <w:t>BAB III – KLASIFIKASI KEBUTUHAN</w:t>
      </w:r>
    </w:p>
    <w:p>
      <w:r>
        <w:rPr>
          <w:b w:val="0"/>
          <w:i w:val="0"/>
        </w:rPr>
        <w:t>Bab klasifikasi kebutuhan untuk Bank Mandiri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 Pilihan ini dibuat agar proposal tidak melebar, melainkan langsung mengunci prioritas yang paling berpengaruh pada outcome seperti MAU/Adopsi kanal digital: target pertumbuhan terukur dalam 6 bulan.. Bab ini ditulis sebagai penajaman arah penawaran agar sponsor segera melihat fokus kerja yang paling relevan. (Data Internal, 2026).</w:t>
      </w:r>
    </w:p>
    <w:p>
      <w:pPr>
        <w:pStyle w:val="Heading2"/>
      </w:pPr>
      <w:r>
        <w:rPr>
          <w:rFonts w:ascii="Arial" w:hAnsi="Arial"/>
          <w:b/>
          <w:color w:val="777973"/>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Bank Mandiri,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persaingan bank digital semakin ketat. diperlukan peningkatan adopsi pengguna, stabilitas layanan, dan koordinasi lintas bisnis, teknologi, serta governance... dan kaitannya dengan target bisnis MAU/Adopsi kanal digital: target pertumbuhan terukur dalam 6 bulan..</w:t>
      </w:r>
    </w:p>
    <w:p>
      <w:pPr>
        <w:pStyle w:val="Heading2"/>
      </w:pPr>
      <w:r>
        <w:rPr>
          <w:rFonts w:ascii="Arial" w:hAnsi="Arial"/>
          <w:b/>
          <w:color w:val="777973"/>
        </w:rPr>
        <w:t>3.2 Tujuan Utama dan Jenis Proyek</w:t>
      </w:r>
    </w:p>
    <w:p>
      <w:r>
        <w:rPr>
          <w:b w:val="0"/>
          <w:i w:val="0"/>
        </w:rPr>
        <w:t>Dengan fokus kebutuhan yang sudah mengerucut, tujuan utama proyek dapat ditegaskan sebagai upaya membantu Bank Mandiri mencapai meningkatkan adopsi dan engagement livin' by mandiri melalui governance delivery, reliability layanan digital, dan roadmap transformasi yang terukur melalui model kerja</w:t>
      </w:r>
      <w:r>
        <w:rPr>
          <w:b/>
          <w:i w:val="0"/>
        </w:rPr>
        <w:t xml:space="preserve"> Transformation</w:t>
      </w:r>
      <w:r>
        <w:rPr>
          <w:b w:val="0"/>
          <w:i w:val="0"/>
        </w:rPr>
        <w:t>. Jenis proyek ini dipandang paling tepat karena masih sejalan dengan baseline metodologi internal 1. Readiness Assessment 2. Phased Rollout 3. Change Management 4. Hypercare, sekaligus cukup kuat untuk menerjemahkan kebutuhan opportunity menjadi deliverable, keputusan, dan quality gate yang dapat dijalankan. - Tujuan utama proposal adalah mengubah kebutuhan opportunity menjadi program kerja yang lebih terstruktur, terukur, dan mudah dikendalikan. - Jenis proyek</w:t>
      </w:r>
      <w:r>
        <w:rPr>
          <w:b/>
          <w:i w:val="0"/>
        </w:rPr>
        <w:t xml:space="preserve"> Transformation</w:t>
      </w:r>
      <w:r>
        <w:rPr>
          <w:b w:val="0"/>
          <w:i w:val="0"/>
        </w:rPr>
        <w:t xml:space="preserve"> dipilih karena paling sesuai untuk menjaga outcome mobilisasi yang lebih cepat, kontrol risiko perubahan yang lebih baik, adopsi hasil yang lebih stabil tetap realistis dicapai oleh Bank Mandiri. - Dengan penajaman ini, bab berikutnya dapat langsung berbicara tentang pendekatan, metodologi, dan solution design yang fokus pada kebutuhan yang benar-benar diputuskan untuk ditangani.</w:t>
      </w:r>
    </w:p>
    <w:p>
      <w:pPr>
        <w:pStyle w:val="ListNumber"/>
        <w:spacing w:before="0" w:after="80"/>
        <w:numPr>
          <w:ilvl w:val="0"/>
          <w:numId w:val="18"/>
        </w:numPr>
      </w:pPr>
      <w:r>
        <w:rPr>
          <w:b w:val="0"/>
          <w:i w:val="0"/>
        </w:rPr>
        <w:t>Prioritas implementasi untuk Bank Mandiri diarahkan agar tetap selaras dengan MAU/Adopsi kanal digital: target pertumbuhan terukur dalam 6 bulan..</w:t>
      </w:r>
    </w:p>
    <w:p>
      <w:pPr>
        <w:pStyle w:val="ListNumber"/>
        <w:spacing w:before="0" w:after="80"/>
        <w:numPr>
          <w:ilvl w:val="0"/>
          <w:numId w:val="18"/>
        </w:numPr>
      </w:pPr>
      <w:r>
        <w:rPr>
          <w:b w:val="0"/>
          <w:i w:val="0"/>
        </w:rPr>
        <w:t>Keputusan delivery dan quality gate pada bab ini harus konsisten dengan istilah kerja nasabah, core banking. - Anchor inisiatif yang tetap dirujuk adalah Bank Mandiri Pastikan Livin' by Mandiri Siap Temani Transaksi Nasabah Sepanjang Libur Idul Fitri 1447 H. Tuesday, 17 March 2026. Jakarta, 17 Maret 2026 -... (bankmandiri.co.id, 2026).</w:t>
      </w:r>
    </w:p>
    <w:p>
      <w:r>
        <w:br w:type="page"/>
      </w:r>
    </w:p>
    <w:p>
      <w:pPr>
        <w:pStyle w:val="Heading1"/>
        <w:jc w:val="center"/>
      </w:pPr>
      <w:r>
        <w:rPr>
          <w:color w:val="777973"/>
        </w:rPr>
        <w:t>BAB IV – PENDEKATAN</w:t>
      </w:r>
    </w:p>
    <w:p>
      <w:pPr>
        <w:pStyle w:val="Heading2"/>
      </w:pPr>
      <w:r>
        <w:rPr>
          <w:rFonts w:ascii="Arial" w:hAnsi="Arial"/>
          <w:b/>
          <w:color w:val="777973"/>
        </w:rPr>
        <w:t>4.1 Acuan Prinsip/Framework/Teori/Regulasi</w:t>
      </w:r>
    </w:p>
    <w:p>
      <w:pPr>
        <w:pStyle w:val="Heading3"/>
      </w:pPr>
      <w:r>
        <w:rPr>
          <w:rFonts w:ascii="Arial" w:hAnsi="Arial"/>
          <w:b/>
          <w:color w:val="777973"/>
        </w:rPr>
        <w:t>4.1.1 TOGAF – Enterprise Architecture</w:t>
      </w:r>
    </w:p>
    <w:p>
      <w:pPr>
        <w:pStyle w:val="ListNumber"/>
        <w:spacing w:before="0" w:after="80"/>
        <w:numPr>
          <w:ilvl w:val="0"/>
          <w:numId w:val="19"/>
        </w:numPr>
      </w:pPr>
      <w:r>
        <w:rPr>
          <w:b/>
          <w:i w:val="0"/>
        </w:rPr>
        <w:t>Vision &amp; Business Architecture</w:t>
      </w:r>
      <w:r>
        <w:rPr>
          <w:b w:val="0"/>
          <w:i w:val="0"/>
        </w:rPr>
        <w:t xml:space="preserve"> – Menyelaraskan target MAU = 20 juta dengan visi “Institusi Keuangan Terbaik di Asia Tenggara” (bankmandiri.co.id, 2029).</w:t>
      </w:r>
    </w:p>
    <w:p>
      <w:pPr>
        <w:pStyle w:val="ListNumber"/>
        <w:spacing w:before="0" w:after="80"/>
        <w:numPr>
          <w:ilvl w:val="0"/>
          <w:numId w:val="19"/>
        </w:numPr>
      </w:pPr>
      <w:r>
        <w:rPr>
          <w:b/>
          <w:i w:val="0"/>
        </w:rPr>
        <w:t>Architecture Governance</w:t>
      </w:r>
      <w:r>
        <w:rPr>
          <w:b w:val="0"/>
          <w:i w:val="0"/>
        </w:rPr>
        <w:t xml:space="preserve"> – Membentuk Architecture Review Board yang memverifikasi integrasi Livin’ by Mandiri dengan core banking, memastikan</w:t>
      </w:r>
      <w:r>
        <w:rPr>
          <w:b w:val="0"/>
          <w:i/>
        </w:rPr>
        <w:t xml:space="preserve"> risk appetite</w:t>
      </w:r>
      <w:r>
        <w:rPr>
          <w:b w:val="0"/>
          <w:i w:val="0"/>
        </w:rPr>
        <w:t xml:space="preserve"> dan</w:t>
      </w:r>
      <w:r>
        <w:rPr>
          <w:b w:val="0"/>
          <w:i/>
        </w:rPr>
        <w:t xml:space="preserve"> fraud control</w:t>
      </w:r>
      <w:r>
        <w:rPr>
          <w:b w:val="0"/>
          <w:i w:val="0"/>
        </w:rPr>
        <w:t xml:space="preserve"> tetap dalam batas</w:t>
      </w:r>
      <w:r>
        <w:rPr>
          <w:b w:val="0"/>
          <w:i/>
        </w:rPr>
        <w:t xml:space="preserve"> kepatuhan POJK</w:t>
      </w:r>
      <w:r>
        <w:rPr>
          <w:b w:val="0"/>
          <w:i w:val="0"/>
        </w:rPr>
        <w:t>.</w:t>
      </w:r>
    </w:p>
    <w:p>
      <w:pPr>
        <w:pStyle w:val="ListNumber"/>
        <w:spacing w:before="0" w:after="80"/>
        <w:numPr>
          <w:ilvl w:val="0"/>
          <w:numId w:val="19"/>
        </w:numPr>
      </w:pPr>
      <w:r>
        <w:rPr>
          <w:b/>
          <w:i w:val="0"/>
        </w:rPr>
        <w:t>Migration Planning</w:t>
      </w:r>
      <w:r>
        <w:rPr>
          <w:b w:val="0"/>
          <w:i w:val="0"/>
        </w:rPr>
        <w:t xml:space="preserve"> – Menggunakan Architecture Repository untuk memetakan 12 komponen kritis (infrastruktur, data, keamanan, proses, SDM) sebagai dasar</w:t>
      </w:r>
      <w:r>
        <w:rPr>
          <w:b w:val="0"/>
          <w:i/>
        </w:rPr>
        <w:t xml:space="preserve"> Roadmap Transformasi</w:t>
      </w:r>
      <w:r>
        <w:rPr>
          <w:b w:val="0"/>
          <w:i w:val="0"/>
        </w:rPr>
        <w:t xml:space="preserve"> 6 bulan.</w:t>
      </w:r>
    </w:p>
    <w:p>
      <w:pPr>
        <w:pStyle w:val="Heading3"/>
      </w:pPr>
      <w:r>
        <w:rPr>
          <w:rFonts w:ascii="Arial" w:hAnsi="Arial"/>
          <w:b/>
          <w:color w:val="777973"/>
        </w:rPr>
        <w:t>4.1.2 ITIL 4 – Service Management</w:t>
      </w:r>
    </w:p>
    <w:p>
      <w:pPr>
        <w:pStyle w:val="ListNumber"/>
        <w:spacing w:before="0" w:after="80"/>
        <w:numPr>
          <w:ilvl w:val="0"/>
          <w:numId w:val="20"/>
        </w:numPr>
      </w:pPr>
      <w:r>
        <w:rPr>
          <w:b/>
          <w:i w:val="0"/>
        </w:rPr>
        <w:t>Service Value System</w:t>
      </w:r>
      <w:r>
        <w:rPr>
          <w:b w:val="0"/>
          <w:i w:val="0"/>
        </w:rPr>
        <w:t xml:space="preserve"> – Fokus pada</w:t>
      </w:r>
      <w:r>
        <w:rPr>
          <w:b w:val="0"/>
          <w:i/>
        </w:rPr>
        <w:t xml:space="preserve"> Service Design</w:t>
      </w:r>
      <w:r>
        <w:rPr>
          <w:b w:val="0"/>
          <w:i w:val="0"/>
        </w:rPr>
        <w:t xml:space="preserve"> dengan SLA ≤ 99,5 % uptime, selaras komitmen infrastruktur aman saat Lebaran (antaranews.com, 2026).</w:t>
      </w:r>
    </w:p>
    <w:p>
      <w:pPr>
        <w:pStyle w:val="ListNumber"/>
        <w:spacing w:before="0" w:after="80"/>
        <w:numPr>
          <w:ilvl w:val="0"/>
          <w:numId w:val="20"/>
        </w:numPr>
      </w:pPr>
      <w:r>
        <w:rPr>
          <w:b/>
          <w:i w:val="0"/>
        </w:rPr>
        <w:t>Change Enablement</w:t>
      </w:r>
      <w:r>
        <w:rPr>
          <w:b w:val="0"/>
          <w:i w:val="0"/>
        </w:rPr>
        <w:t xml:space="preserve"> – Mengadopsi</w:t>
      </w:r>
      <w:r>
        <w:rPr>
          <w:b w:val="0"/>
          <w:i/>
        </w:rPr>
        <w:t xml:space="preserve"> Change Enablement</w:t>
      </w:r>
      <w:r>
        <w:rPr>
          <w:b w:val="0"/>
          <w:i w:val="0"/>
        </w:rPr>
        <w:t xml:space="preserve"> dan</w:t>
      </w:r>
      <w:r>
        <w:rPr>
          <w:b w:val="0"/>
          <w:i/>
        </w:rPr>
        <w:t xml:space="preserve"> Release Management</w:t>
      </w:r>
      <w:r>
        <w:rPr>
          <w:b w:val="0"/>
          <w:i w:val="0"/>
        </w:rPr>
        <w:t xml:space="preserve"> untuk</w:t>
      </w:r>
      <w:r>
        <w:rPr>
          <w:b w:val="0"/>
          <w:i/>
        </w:rPr>
        <w:t xml:space="preserve"> Phased Rollout</w:t>
      </w:r>
      <w:r>
        <w:rPr>
          <w:b w:val="0"/>
          <w:i w:val="0"/>
        </w:rPr>
        <w:t>; downtime dibatasi &lt; 2 jam per fase.</w:t>
      </w:r>
    </w:p>
    <w:p>
      <w:pPr>
        <w:pStyle w:val="ListNumber"/>
        <w:spacing w:before="0" w:after="80"/>
        <w:numPr>
          <w:ilvl w:val="0"/>
          <w:numId w:val="20"/>
        </w:numPr>
      </w:pPr>
      <w:r>
        <w:rPr>
          <w:b/>
          <w:i w:val="0"/>
        </w:rPr>
        <w:t>Continual Improvement</w:t>
      </w:r>
      <w:r>
        <w:rPr>
          <w:b w:val="0"/>
          <w:i w:val="0"/>
        </w:rPr>
        <w:t xml:space="preserve"> – Menggunakan</w:t>
      </w:r>
      <w:r>
        <w:rPr>
          <w:b w:val="0"/>
          <w:i/>
        </w:rPr>
        <w:t xml:space="preserve"> Service Measurement</w:t>
      </w:r>
      <w:r>
        <w:rPr>
          <w:b w:val="0"/>
          <w:i w:val="0"/>
        </w:rPr>
        <w:t xml:space="preserve"> untuk memantau KPI MAU,</w:t>
      </w:r>
      <w:r>
        <w:rPr>
          <w:b w:val="0"/>
          <w:i/>
        </w:rPr>
        <w:t xml:space="preserve"> adopsi</w:t>
      </w:r>
      <w:r>
        <w:rPr>
          <w:b w:val="0"/>
          <w:i w:val="0"/>
        </w:rPr>
        <w:t>, dan</w:t>
      </w:r>
      <w:r>
        <w:rPr>
          <w:b w:val="0"/>
          <w:i/>
        </w:rPr>
        <w:t xml:space="preserve"> engagement</w:t>
      </w:r>
      <w:r>
        <w:rPr>
          <w:b w:val="0"/>
          <w:i w:val="0"/>
        </w:rPr>
        <w:t xml:space="preserve"> secara harian.</w:t>
      </w:r>
    </w:p>
    <w:p>
      <w:pPr>
        <w:pStyle w:val="Heading3"/>
      </w:pPr>
      <w:r>
        <w:rPr>
          <w:rFonts w:ascii="Arial" w:hAnsi="Arial"/>
          <w:b/>
          <w:color w:val="777973"/>
        </w:rPr>
        <w:t>4.1.3 COBIT 2019, POJK 33/2025 &amp; POJK 34/2021, GCG</w:t>
      </w:r>
    </w:p>
    <w:p>
      <w:pPr>
        <w:pStyle w:val="ListBullet"/>
        <w:spacing w:before="0" w:after="80"/>
        <w:numPr>
          <w:ilvl w:val="0"/>
          <w:numId w:val="21"/>
        </w:numPr>
      </w:pPr>
      <w:r>
        <w:rPr>
          <w:b/>
          <w:i w:val="0"/>
        </w:rPr>
        <w:t>COBIT 2019</w:t>
      </w:r>
      <w:r>
        <w:rPr>
          <w:b w:val="0"/>
          <w:i w:val="0"/>
        </w:rPr>
        <w:t xml:space="preserve"> – Proses EDM01 (Governance), APO12 (Resource Management), BAI03 (Solution Design), DSS01 (Operations) dipetakan ke KPI MAU,</w:t>
      </w:r>
      <w:r>
        <w:rPr>
          <w:b w:val="0"/>
          <w:i/>
        </w:rPr>
        <w:t xml:space="preserve"> adopsi</w:t>
      </w:r>
      <w:r>
        <w:rPr>
          <w:b w:val="0"/>
          <w:i w:val="0"/>
        </w:rPr>
        <w:t>, dan</w:t>
      </w:r>
      <w:r>
        <w:rPr>
          <w:b w:val="0"/>
          <w:i/>
        </w:rPr>
        <w:t xml:space="preserve"> reliability</w:t>
      </w:r>
      <w:r>
        <w:rPr>
          <w:b w:val="0"/>
          <w:i w:val="0"/>
        </w:rPr>
        <w:t xml:space="preserve"> layanan.</w:t>
      </w:r>
    </w:p>
    <w:p>
      <w:pPr>
        <w:pStyle w:val="ListBullet"/>
        <w:spacing w:before="0" w:after="80"/>
        <w:numPr>
          <w:ilvl w:val="0"/>
          <w:numId w:val="21"/>
        </w:numPr>
      </w:pPr>
      <w:r>
        <w:rPr>
          <w:b/>
          <w:i w:val="0"/>
        </w:rPr>
        <w:t>POJK 33/2025</w:t>
      </w:r>
      <w:r>
        <w:rPr>
          <w:b w:val="0"/>
          <w:i w:val="0"/>
        </w:rPr>
        <w:t xml:space="preserve"> – Metodologi penilaian kesehatan digital berbasis risiko (ojk.go.id, 2026) diintegrasikan ke</w:t>
      </w:r>
      <w:r>
        <w:rPr>
          <w:b w:val="0"/>
          <w:i/>
        </w:rPr>
        <w:t xml:space="preserve"> risk‑based monitoring</w:t>
      </w:r>
      <w:r>
        <w:rPr>
          <w:b w:val="0"/>
          <w:i w:val="0"/>
        </w:rPr>
        <w:t xml:space="preserve"> tiap modul Livin’.</w:t>
      </w:r>
    </w:p>
    <w:p>
      <w:pPr>
        <w:pStyle w:val="ListBullet"/>
        <w:spacing w:before="0" w:after="80"/>
        <w:numPr>
          <w:ilvl w:val="0"/>
          <w:numId w:val="21"/>
        </w:numPr>
      </w:pPr>
      <w:r>
        <w:rPr>
          <w:b/>
          <w:i w:val="0"/>
        </w:rPr>
        <w:t>POJK 34/2021</w:t>
      </w:r>
      <w:r>
        <w:rPr>
          <w:b w:val="0"/>
          <w:i w:val="0"/>
        </w:rPr>
        <w:t xml:space="preserve"> – Prinsip akuntansi transaksi perbankan memastikan pencatatan yang konsisten</w:t>
      </w:r>
    </w:p>
    <w:p>
      <w:pPr>
        <w:pStyle w:val="Heading2"/>
      </w:pPr>
      <w:r>
        <w:rPr>
          <w:rFonts w:ascii="Arial" w:hAnsi="Arial"/>
          <w:b/>
          <w:color w:val="777973"/>
        </w:rPr>
        <w:t>4.2 Standar Penyelesaian Masalah</w:t>
      </w:r>
    </w:p>
    <w:p>
      <w:pPr>
        <w:pStyle w:val="Heading3"/>
      </w:pPr>
      <w:r>
        <w:rPr>
          <w:rFonts w:ascii="Arial" w:hAnsi="Arial"/>
          <w:b/>
          <w:color w:val="777973"/>
        </w:rPr>
        <w:t>Rincian Inti</w:t>
      </w:r>
    </w:p>
    <w:p>
      <w:pPr>
        <w:pStyle w:val="ListNumber"/>
        <w:spacing w:before="0" w:after="80"/>
        <w:numPr>
          <w:ilvl w:val="0"/>
          <w:numId w:val="22"/>
        </w:numPr>
      </w:pPr>
      <w:r>
        <w:rPr>
          <w:b w:val="0"/>
          <w:i w:val="0"/>
        </w:rPr>
        <w:t>Aktivitas utama pada bagian ini disesuaikan langsung dengan kebutuhan bisnis klien. - Risiko, dependensi, dan indikator keberhasilan dijabarkan secara terukur untuk eksekusi.</w:t>
      </w:r>
    </w:p>
    <w:p>
      <w:r>
        <w:rPr>
          <w:b w:val="0"/>
          <w:i w:val="0"/>
        </w:rPr>
        <w:t>Untuk Bank Mandiri, isi bab ini harus dibaca sebagai dasar keputusan kerja yang dapat ditindaklanjuti, bukan sekadar penjelasan konseptual. Karena itu, isi bab tetap diarahkan untuk menjaga relevansi terhadap KPI seperti MAU/Adopsi kanal digital: target pertumbuhan terukur dalam 6 bulan. dan istilah kerja nasabah, core banking.</w:t>
      </w:r>
    </w:p>
    <w:p>
      <w:pPr>
        <w:pStyle w:val="ListBullet"/>
        <w:spacing w:before="0" w:after="80"/>
        <w:numPr>
          <w:ilvl w:val="0"/>
          <w:numId w:val="23"/>
        </w:numPr>
      </w:pPr>
      <w:r>
        <w:rPr>
          <w:b w:val="0"/>
          <w:i w:val="0"/>
        </w:rPr>
        <w:t>Implikasi eksekusinya harus tetap jelas agar sponsor dan tim delivery dapat menurunkan isi bab ini menjadi tindakan yang konkret.</w:t>
      </w:r>
    </w:p>
    <w:p>
      <w:pPr>
        <w:pStyle w:val="ListBullet"/>
        <w:spacing w:before="0" w:after="80"/>
        <w:numPr>
          <w:ilvl w:val="0"/>
          <w:numId w:val="23"/>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Bank Mandiri. Artinya, isi bab tidak berhenti pada deskripsi, tetapi tetap menunjukkan keterkaitan antara keputusan kerja, KPI MAU/Adopsi kanal digital: target pertumbuhan terukur dalam 6 bulan., bahasa operasional nasabah, core banking, dan konteks inisiatif yang sedang dijalankan.</w:t>
      </w:r>
    </w:p>
    <w:p>
      <w:r>
        <w:rPr>
          <w:b w:val="0"/>
          <w:i w:val="0"/>
        </w:rPr>
        <w:t>Penajaman tambahan ini memastikan bab tetap berguna untuk pengambilan keputusan Bank Mandiri. Isi bab harus tetap menjelaskan implikasi kerja, konsekuensi pada KPI MAU/Adopsi kanal digital: target pertumbuhan terukur dalam 6 bulan., dan bagaimana langkah eksekusinya dijaga tetap konsisten dengan istilah operasional nasabah, core banking.</w:t>
      </w:r>
    </w:p>
    <w:p>
      <w:r>
        <w:rPr>
          <w:b w:val="0"/>
          <w:i w:val="0"/>
        </w:rPr>
        <w:t>Penajaman tambahan ini memastikan bab tetap berguna untuk pengambilan keputusan Bank Mandiri. Isi bab harus tetap menjelaskan implikasi kerja, konsekuensi pada KPI MAU/Adopsi kanal digital: target pertumbuhan terukur dalam 6 bulan., dan bagaimana langkah eksekusinya dijaga tetap konsisten dengan istilah operasional nasabah, core banking.</w:t>
      </w:r>
    </w:p>
    <w:p>
      <w:r>
        <w:br w:type="page"/>
      </w:r>
    </w:p>
    <w:p>
      <w:pPr>
        <w:pStyle w:val="Heading1"/>
        <w:jc w:val="center"/>
      </w:pPr>
      <w:r>
        <w:rPr>
          <w:color w:val="777973"/>
        </w:rPr>
        <w:t>BAB V – METODOLOGI</w:t>
      </w:r>
    </w:p>
    <w:p>
      <w:pPr>
        <w:pStyle w:val="Heading2"/>
      </w:pPr>
      <w:r>
        <w:rPr>
          <w:rFonts w:ascii="Arial" w:hAnsi="Arial"/>
          <w:b/>
          <w:color w:val="777973"/>
        </w:rPr>
        <w:t>5.1 Alasan Pemilihan Metodologi</w:t>
      </w:r>
    </w:p>
    <w:p>
      <w:r>
        <w:rPr>
          <w:b w:val="0"/>
          <w:i w:val="0"/>
        </w:rPr>
        <w:t>Bank Mandiri menghadapi persaingan ketat dari digital‑bank (Jago, SeaBank) yang menurunkan rasio adopsi Livin’ (MAU = 10 juta) (Data Internal, 2026). Target dewan adalah meningkatkan MAU menjadi 20 juta dalam 6 bulan (dua kali lipat baseline) (Data Internal, 2026). Laba bersih naik 16,18 % YoY (Rp4,65 triliun) dan kredit tumbuh 15,62 % YoY, menandakan kapasitas investasi digital yang kuat (bankmandiri.co.id, 2026). Namun, peningkatan adopsi harus selaras dengan:</w:t>
      </w:r>
    </w:p>
    <w:p>
      <w:pPr>
        <w:pStyle w:val="ListBullet"/>
        <w:spacing w:before="0" w:after="80"/>
        <w:numPr>
          <w:ilvl w:val="0"/>
          <w:numId w:val="24"/>
        </w:numPr>
      </w:pPr>
      <w:r>
        <w:rPr>
          <w:b/>
          <w:i w:val="0"/>
        </w:rPr>
        <w:t>Kepatuhan POJK</w:t>
      </w:r>
      <w:r>
        <w:rPr>
          <w:b w:val="0"/>
          <w:i w:val="0"/>
        </w:rPr>
        <w:t xml:space="preserve"> yang menuntut kontrol risiko berbasis prinsip (ojk.go.id, 2025).</w:t>
      </w:r>
    </w:p>
    <w:p>
      <w:pPr>
        <w:pStyle w:val="ListBullet"/>
        <w:spacing w:before="0" w:after="80"/>
        <w:numPr>
          <w:ilvl w:val="0"/>
          <w:numId w:val="24"/>
        </w:numPr>
      </w:pPr>
      <w:r>
        <w:rPr>
          <w:b/>
          <w:i w:val="0"/>
        </w:rPr>
        <w:t>Risk appetite</w:t>
      </w:r>
      <w:r>
        <w:rPr>
          <w:b w:val="0"/>
          <w:i w:val="0"/>
        </w:rPr>
        <w:t xml:space="preserve"> bank yang menolak downtime yang dapat merusak reputasi.</w:t>
      </w:r>
    </w:p>
    <w:p>
      <w:pPr>
        <w:pStyle w:val="ListBullet"/>
        <w:spacing w:before="0" w:after="80"/>
        <w:numPr>
          <w:ilvl w:val="0"/>
          <w:numId w:val="24"/>
        </w:numPr>
      </w:pPr>
      <w:r>
        <w:rPr>
          <w:b/>
          <w:i w:val="0"/>
        </w:rPr>
        <w:t>Kesiapan operasional</w:t>
      </w:r>
      <w:r>
        <w:rPr>
          <w:b w:val="0"/>
          <w:i w:val="0"/>
        </w:rPr>
        <w:t xml:space="preserve"> selama periode Lebaran, ketika Livin’ harus “menemani transaksi nasabah sepanjang libur Idul Fitri” (bankmandiri.co.id, 2026).</w:t>
      </w:r>
    </w:p>
    <w:p>
      <w:r>
        <w:rPr>
          <w:b w:val="0"/>
          <w:i w:val="0"/>
        </w:rPr>
        <w:t>Metodologi</w:t>
      </w:r>
      <w:r>
        <w:rPr>
          <w:b/>
          <w:i w:val="0"/>
        </w:rPr>
        <w:t xml:space="preserve"> Readiness → Phased Rollout → Change Management → Hypercare</w:t>
      </w:r>
      <w:r>
        <w:rPr>
          <w:b w:val="0"/>
          <w:i w:val="0"/>
        </w:rPr>
        <w:t xml:space="preserve"> dipilih karena:</w:t>
      </w:r>
    </w:p>
    <w:p>
      <w:pPr>
        <w:pStyle w:val="ListNumber"/>
        <w:spacing w:before="0" w:after="80"/>
        <w:numPr>
          <w:ilvl w:val="0"/>
          <w:numId w:val="25"/>
        </w:numPr>
      </w:pPr>
      <w:r>
        <w:rPr>
          <w:b/>
          <w:i w:val="0"/>
        </w:rPr>
        <w:t>Integrasi TOGAF‑ITIL‑COBIT</w:t>
      </w:r>
      <w:r>
        <w:rPr>
          <w:b w:val="0"/>
          <w:i w:val="0"/>
        </w:rPr>
        <w:t xml:space="preserve"> memberikan arsitektur enterprise, manajemen layanan, dan tata kelola dalam satu kerangka.</w:t>
      </w:r>
    </w:p>
    <w:p>
      <w:pPr>
        <w:pStyle w:val="Heading2"/>
      </w:pPr>
      <w:r>
        <w:rPr>
          <w:rFonts w:ascii="Arial" w:hAnsi="Arial"/>
          <w:b/>
          <w:color w:val="777973"/>
        </w:rPr>
        <w:t>5.2 Langkah Kerja dengan Framework Terpilih</w:t>
      </w:r>
    </w:p>
    <w:p>
      <w:pPr>
        <w:pStyle w:val="Heading3"/>
      </w:pPr>
      <w:r>
        <w:rPr>
          <w:rFonts w:ascii="Arial" w:hAnsi="Arial"/>
          <w:b/>
          <w:color w:val="777973"/>
        </w:rPr>
        <w:t>Rincian Inti</w:t>
      </w:r>
    </w:p>
    <w:p>
      <w:pPr>
        <w:pStyle w:val="ListNumber"/>
        <w:spacing w:before="0" w:after="80"/>
        <w:numPr>
          <w:ilvl w:val="0"/>
          <w:numId w:val="26"/>
        </w:numPr>
      </w:pPr>
      <w:r>
        <w:rPr>
          <w:b w:val="0"/>
          <w:i w:val="0"/>
        </w:rPr>
        <w:t>Aktivitas utama pada bagian ini disesuaikan langsung dengan kebutuhan bisnis klien. - Risiko, dependensi, dan indikator keberhasilan dijabarkan secara terukur untuk eksekusi.</w:t>
      </w:r>
    </w:p>
    <w:p>
      <w:r>
        <w:rPr>
          <w:b w:val="0"/>
          <w:i w:val="0"/>
        </w:rPr>
        <w:t>Untuk Bank Mandiri, isi bab ini harus dibaca sebagai dasar keputusan kerja yang dapat ditindaklanjuti, bukan sekadar penjelasan konseptual. Karena itu, isi bab tetap diarahkan untuk menjaga relevansi terhadap KPI seperti MAU/Adopsi kanal digital: target pertumbuhan terukur dalam 6 bulan. dan istilah kerja nasabah, core banking.</w:t>
      </w:r>
    </w:p>
    <w:p>
      <w:pPr>
        <w:pStyle w:val="ListBullet"/>
        <w:spacing w:before="0" w:after="80"/>
        <w:numPr>
          <w:ilvl w:val="0"/>
          <w:numId w:val="27"/>
        </w:numPr>
      </w:pPr>
      <w:r>
        <w:rPr>
          <w:b w:val="0"/>
          <w:i w:val="0"/>
        </w:rPr>
        <w:t>Implikasi eksekusinya harus tetap jelas agar sponsor dan tim delivery dapat menurunkan isi bab ini menjadi tindakan yang konkret.</w:t>
      </w:r>
    </w:p>
    <w:p>
      <w:pPr>
        <w:pStyle w:val="ListBullet"/>
        <w:spacing w:before="0" w:after="80"/>
        <w:numPr>
          <w:ilvl w:val="0"/>
          <w:numId w:val="27"/>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Bank Mandiri. Artinya, isi bab tidak berhenti pada deskripsi, tetapi tetap menunjukkan keterkaitan antara keputusan kerja, KPI MAU/Adopsi kanal digital: target pertumbuhan terukur dalam 6 bulan., bahasa operasional nasabah, core banking, dan konteks inisiatif yang sedang dijalankan.</w:t>
      </w:r>
    </w:p>
    <w:p>
      <w:r>
        <w:rPr>
          <w:b w:val="0"/>
          <w:i w:val="0"/>
        </w:rPr>
        <w:t>Penajaman tambahan ini memastikan bab tetap berguna untuk pengambilan keputusan Bank Mandiri. Isi bab harus tetap menjelaskan implikasi kerja, konsekuensi pada KPI MAU/Adopsi kanal digital: target pertumbuhan terukur dalam 6 bulan., dan bagaimana langkah eksekusinya dijaga tetap konsisten dengan istilah operasional nasabah, core banking.</w:t>
      </w:r>
    </w:p>
    <w:p>
      <w:r>
        <w:rPr>
          <w:b w:val="0"/>
          <w:i w:val="0"/>
        </w:rPr>
        <w:t>Penajaman tambahan ini memastikan bab tetap berguna untuk pengambilan keputusan Bank Mandiri. Isi bab harus tetap menjelaskan implikasi kerja, konsekuensi pada KPI MAU/Adopsi kanal digital: target pertumbuhan terukur dalam 6 bulan., dan bagaimana langkah eksekusinya dijaga tetap konsisten dengan istilah operasional nasabah, core banking.</w:t>
      </w:r>
    </w:p>
    <w:p>
      <w:r>
        <w:rPr>
          <w:b w:val="0"/>
          <w:i w:val="0"/>
        </w:rPr>
        <w:t>Penajaman tambahan ini memastikan bab tetap berguna untuk pengambilan keputusan Bank Mandiri. Isi bab harus tetap menjelaskan implikasi kerja, konsekuensi pada KPI MAU/Adopsi kanal digital: target pertumbuhan terukur dalam 6 bulan., dan bagaimana langkah eksekusinya dijaga tetap konsisten dengan istilah operasional nasabah, core banking.</w:t>
      </w:r>
    </w:p>
    <w:p>
      <w:r>
        <w:br w:type="page"/>
      </w:r>
    </w:p>
    <w:p>
      <w:pPr>
        <w:pStyle w:val="Heading1"/>
        <w:jc w:val="center"/>
      </w:pPr>
      <w:r>
        <w:rPr>
          <w:color w:val="777973"/>
        </w:rPr>
        <w:t>BAB VI – SOLUTION DESIGN</w:t>
      </w:r>
    </w:p>
    <w:p>
      <w:r>
        <w:rPr>
          <w:b w:val="0"/>
          <w:i w:val="0"/>
        </w:rPr>
        <w:t>Solution design untuk Bank Mandiri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meningkatkan adopsi dan engagement livin' by mandiri melalui governance delivery, reliability layanan digital, dan roadmap transformasi yang terukur secara nyata. Dengan pendekatan ini, desain solusi tetap terhubung ke KPI seperti MAU/Adopsi kanal digital: target pertumbuhan terukur dalam 6 bulan., sekaligus menjaga nilai proposal tetap terasa konkret dan dapat dijalankan (Data Internal, 2026).</w:t>
      </w:r>
    </w:p>
    <w:p>
      <w:pPr>
        <w:pStyle w:val="Heading2"/>
      </w:pPr>
      <w:r>
        <w:rPr>
          <w:rFonts w:ascii="Arial" w:hAnsi="Arial"/>
          <w:b/>
          <w:color w:val="777973"/>
        </w:rPr>
        <w:t>6.1 Solusi/Output Metodologi yang Dibangun</w:t>
      </w:r>
    </w:p>
    <w:p>
      <w:r>
        <w:rPr>
          <w:b w:val="0"/>
          <w:i w:val="0"/>
        </w:rPr>
        <w:t>Solusi yang ditawarkan diarahkan untuk membantu Bank Mandiri bergerak dari kebutuhan opportunity menuju kondisi target yang lebih terukur. Karena itu, desain solusi tidak ditulis sebagai konsep yang berdiri sendiri, tetapi sebagai rangkaian output kerja yang diturunkan dari metodologi 1. Readiness Assessment 2. Phased Rollout 3. Change Management 4. Hypercare. - Output utama dirancang agar keputusan sponsor, kontrol delivery, dan koordinasi stakeholder tetap bergerak dengan istilah kerja nasabah, core banking, risk appetite. - Target state yang dibangun harus tetap selaras dengan manfaat yang dijanjikan, terutama mobilisasi yang lebih cepat, kontrol risiko perubahan yang lebih baik, adopsi hasil yang lebih stabil. - Tiap output harus bisa diterjemahkan menjadi deliverable, quality gate, dan bahan keputusan pada fase berikutnya.</w:t>
      </w:r>
    </w:p>
    <w:p>
      <w:pPr>
        <w:pStyle w:val="Heading2"/>
      </w:pPr>
      <w:r>
        <w:rPr>
          <w:rFonts w:ascii="Arial" w:hAnsi="Arial"/>
          <w:b/>
          <w:color w:val="777973"/>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blueprint transformasi, governance pack, dan rollout plan</w:t>
            </w:r>
          </w:p>
        </w:tc>
        <w:tc>
          <w:tcPr>
            <w:tcW w:type="dxa" w:w="3120"/>
          </w:tcPr>
          <w:p>
            <w:r>
              <w:rPr>
                <w:b w:val="0"/>
                <w:i w:val="0"/>
              </w:rPr>
              <w:t>menjadi acuan perubahan yang lebih terstruktur</w:t>
            </w:r>
          </w:p>
        </w:tc>
      </w:tr>
      <w:tr>
        <w:tc>
          <w:tcPr>
            <w:tcW w:type="dxa" w:w="3120"/>
          </w:tcPr>
          <w:p>
            <w:r>
              <w:rPr>
                <w:b w:val="0"/>
                <w:i w:val="0"/>
              </w:rPr>
              <w:t>Pendampingan</w:t>
            </w:r>
          </w:p>
        </w:tc>
        <w:tc>
          <w:tcPr>
            <w:tcW w:type="dxa" w:w="3120"/>
          </w:tcPr>
          <w:p>
            <w:r>
              <w:rPr>
                <w:b w:val="0"/>
                <w:i w:val="0"/>
              </w:rPr>
              <w:t>PMO advisory, quality gate review, dan change orchestration</w:t>
            </w:r>
          </w:p>
        </w:tc>
        <w:tc>
          <w:tcPr>
            <w:tcW w:type="dxa" w:w="3120"/>
          </w:tcPr>
          <w:p>
            <w:r>
              <w:rPr>
                <w:b w:val="0"/>
                <w:i w:val="0"/>
              </w:rPr>
              <w:t>menjaga program berjalan disiplin dari awal sampai stabilisasi</w:t>
            </w:r>
          </w:p>
        </w:tc>
      </w:tr>
      <w:tr>
        <w:tc>
          <w:tcPr>
            <w:tcW w:type="dxa" w:w="3120"/>
          </w:tcPr>
          <w:p>
            <w:r>
              <w:rPr>
                <w:b w:val="0"/>
                <w:i w:val="0"/>
              </w:rPr>
              <w:t>Kegiatan</w:t>
            </w:r>
          </w:p>
        </w:tc>
        <w:tc>
          <w:tcPr>
            <w:tcW w:type="dxa" w:w="3120"/>
          </w:tcPr>
          <w:p>
            <w:r>
              <w:rPr>
                <w:b w:val="0"/>
                <w:i w:val="0"/>
              </w:rPr>
              <w:t>kickoff, checkpoint, workshop alignment, dan review milestone</w:t>
            </w:r>
          </w:p>
        </w:tc>
        <w:tc>
          <w:tcPr>
            <w:tcW w:type="dxa" w:w="3120"/>
          </w:tcPr>
          <w:p>
            <w:r>
              <w:rPr>
                <w:b w:val="0"/>
                <w:i w:val="0"/>
              </w:rPr>
              <w:t>menjaga keputusan dan eksekusi tetap seirama</w:t>
            </w:r>
          </w:p>
        </w:tc>
      </w:tr>
      <w:tr>
        <w:tc>
          <w:tcPr>
            <w:tcW w:type="dxa" w:w="3120"/>
          </w:tcPr>
          <w:p>
            <w:r>
              <w:rPr>
                <w:b w:val="0"/>
                <w:i w:val="0"/>
              </w:rPr>
              <w:t>Implementation Support</w:t>
            </w:r>
          </w:p>
        </w:tc>
        <w:tc>
          <w:tcPr>
            <w:tcW w:type="dxa" w:w="3120"/>
          </w:tcPr>
          <w:p>
            <w:r>
              <w:rPr>
                <w:b w:val="0"/>
                <w:i w:val="0"/>
              </w:rPr>
              <w:t>support implementasi terbatas pada fase kritis</w:t>
            </w:r>
          </w:p>
        </w:tc>
        <w:tc>
          <w:tcPr>
            <w:tcW w:type="dxa" w:w="3120"/>
          </w:tcPr>
          <w:p>
            <w:r>
              <w:rPr>
                <w:b w:val="0"/>
                <w:i w:val="0"/>
              </w:rPr>
              <w:t>membantu transisi hasil desain ke realisasi lapangan</w:t>
            </w:r>
          </w:p>
        </w:tc>
      </w:tr>
    </w:tbl>
    <w:p>
      <w:r>
        <w:rPr>
          <w:b w:val="0"/>
          <w:i w:val="0"/>
        </w:rPr>
        <w:t>Dengan struktur keluaran seperti ini, Bank Mandiri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8"/>
        </w:numPr>
      </w:pPr>
      <w:r>
        <w:rPr>
          <w:b w:val="0"/>
          <w:i w:val="0"/>
        </w:rPr>
        <w:t>Prioritas implementasi untuk Bank Mandiri diarahkan agar tetap selaras dengan MAU/Adopsi kanal digital: target pertumbuhan terukur dalam 6 bulan..</w:t>
      </w:r>
    </w:p>
    <w:p>
      <w:pPr>
        <w:pStyle w:val="ListNumber"/>
        <w:spacing w:before="0" w:after="80"/>
        <w:numPr>
          <w:ilvl w:val="0"/>
          <w:numId w:val="28"/>
        </w:numPr>
      </w:pPr>
      <w:r>
        <w:rPr>
          <w:b w:val="0"/>
          <w:i w:val="0"/>
        </w:rPr>
        <w:t>Keputusan delivery dan quality gate pada bab ini harus konsisten dengan istilah kerja nasabah, core banking.</w:t>
      </w:r>
    </w:p>
    <w:p>
      <w:r>
        <w:br w:type="page"/>
      </w:r>
    </w:p>
    <w:p>
      <w:pPr>
        <w:pStyle w:val="Heading1"/>
        <w:jc w:val="center"/>
      </w:pPr>
      <w:r>
        <w:rPr>
          <w:color w:val="777973"/>
        </w:rPr>
        <w:t>BAB VII – RUANG LINGKUP PEKERJAAN</w:t>
      </w:r>
    </w:p>
    <w:p>
      <w:r>
        <w:rPr>
          <w:b w:val="0"/>
          <w:i w:val="0"/>
        </w:rPr>
        <w:t>Ruang lingkup pekerjaan untuk Bank Mandiri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77973"/>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meningkatkan adopsi dan engagement livin' by mandiri melalui governance delivery... dan ruang problem yang direspons sudah selaras</w:t>
            </w:r>
          </w:p>
        </w:tc>
        <w:tc>
          <w:tcPr>
            <w:tcW w:type="dxa" w:w="2340"/>
          </w:tcPr>
          <w:p>
            <w:r>
              <w:rPr>
                <w:b w:val="0"/>
                <w:i w:val="0"/>
              </w:rPr>
              <w:t>blueprint transformasi, governance pack, dan rollout plan</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persaingan bank digital semakin ketat. diperlukan peningkatan adopsi pengguna, stabilitas layanan, dan... ke solusi, prioritas, dan kontrol delivery</w:t>
            </w:r>
          </w:p>
        </w:tc>
        <w:tc>
          <w:tcPr>
            <w:tcW w:type="dxa" w:w="2340"/>
          </w:tcPr>
          <w:p>
            <w:r>
              <w:rPr>
                <w:b w:val="0"/>
                <w:i w:val="0"/>
              </w:rPr>
              <w:t>PMO advisory, quality gate review, dan change orchestration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kickoff, checkpoint, workshop alignment, dan review milestone</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support implementasi terbatas pada fase kritis</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Bank Mandiri. Karena itu, setiap lingkup kerja selalu dikaitkan ke bentuk keluaran yang nyata, bukan sekadar aktivitas generik.</w:t>
      </w:r>
    </w:p>
    <w:p>
      <w:pPr>
        <w:pStyle w:val="Heading2"/>
      </w:pPr>
      <w:r>
        <w:rPr>
          <w:rFonts w:ascii="Arial" w:hAnsi="Arial"/>
          <w:b/>
          <w:color w:val="777973"/>
        </w:rPr>
        <w:t>7.2 Batasan Pekerjaan dan Asumsi</w:t>
      </w:r>
    </w:p>
    <w:p>
      <w:pPr>
        <w:pStyle w:val="ListNumber"/>
        <w:spacing w:before="0" w:after="80"/>
        <w:numPr>
          <w:ilvl w:val="0"/>
          <w:numId w:val="29"/>
        </w:numPr>
      </w:pPr>
      <w:r>
        <w:rPr>
          <w:b w:val="0"/>
          <w:i w:val="0"/>
        </w:rPr>
        <w:t>Prioritas implementasi untuk Bank Mandiri diarahkan agar tetap selaras dengan MAU/Adopsi kanal digital: target pertumbuhan terukur dalam 6 bulan..</w:t>
      </w:r>
    </w:p>
    <w:p>
      <w:pPr>
        <w:pStyle w:val="ListNumber"/>
        <w:spacing w:before="0" w:after="80"/>
        <w:numPr>
          <w:ilvl w:val="0"/>
          <w:numId w:val="29"/>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VIII – TIMELINE PEKERJAAN</w:t>
      </w:r>
    </w:p>
    <w:p>
      <w:r>
        <w:drawing>
          <wp:inline xmlns:a="http://schemas.openxmlformats.org/drawingml/2006/main" xmlns:pic="http://schemas.openxmlformats.org/drawingml/2006/picture">
            <wp:extent cx="5486400" cy="247582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75827"/>
                    </a:xfrm>
                    <a:prstGeom prst="rect"/>
                  </pic:spPr>
                </pic:pic>
              </a:graphicData>
            </a:graphic>
          </wp:inline>
        </w:drawing>
      </w:r>
    </w:p>
    <w:p>
      <w:r>
        <w:rPr>
          <w:b w:val="0"/>
          <w:i w:val="0"/>
        </w:rPr>
        <w:t>Untuk Bank Mandiri, timeline pekerjaan disusun agar inisiatif Meningkatkan adopsi dan engagement Livin' by Mandiri melalui governance delivery, reliability layanan digital, dan roadmap transformasi yang terukur dapat bergerak stabil selama 6 Bulan. Rencana ini mengikat ritme delivery ke KPI seperti MAU/Adopsi kanal digital: target pertumbuhan terukur dalam 6 bulan., memakai istilah kerja nasabah, core banking, risk appetite, dan menjaga agar keputusan fase selalu dapat ditelusuri terhadap outcome bisnis.</w:t>
      </w:r>
    </w:p>
    <w:p>
      <w:pPr>
        <w:pStyle w:val="Heading2"/>
      </w:pPr>
      <w:r>
        <w:rPr>
          <w:rFonts w:ascii="Arial" w:hAnsi="Arial"/>
          <w:b/>
          <w:color w:val="777973"/>
        </w:rPr>
        <w:t>8.1 Aktivitas per Fase</w:t>
      </w:r>
    </w:p>
    <w:p>
      <w:pPr>
        <w:pStyle w:val="ListNumber"/>
        <w:spacing w:before="0" w:after="80"/>
        <w:numPr>
          <w:ilvl w:val="0"/>
          <w:numId w:val="30"/>
        </w:numPr>
      </w:pPr>
      <w:r>
        <w:rPr>
          <w:b/>
          <w:i w:val="0"/>
        </w:rPr>
        <w:t>Readiness Assessment</w:t>
      </w:r>
      <w:r>
        <w:rPr>
          <w:b w:val="0"/>
          <w:i w:val="0"/>
        </w:rPr>
        <w:t xml:space="preserve"> (Bulan 1): Nilai kesiapan organisasi, proses, data, dan sponsor. Output utama: readiness view dan daftar gap.</w:t>
      </w:r>
    </w:p>
    <w:p>
      <w:pPr>
        <w:pStyle w:val="ListNumber"/>
        <w:spacing w:before="0" w:after="80"/>
        <w:numPr>
          <w:ilvl w:val="0"/>
          <w:numId w:val="30"/>
        </w:numPr>
      </w:pPr>
      <w:r>
        <w:rPr>
          <w:b/>
          <w:i w:val="0"/>
        </w:rPr>
        <w:t>Blueprint &amp; Mobilization</w:t>
      </w:r>
      <w:r>
        <w:rPr>
          <w:b w:val="0"/>
          <w:i w:val="0"/>
        </w:rPr>
        <w:t xml:space="preserve"> (Bulan 2-3): Tetapkan rancangan solusi, governance, dan model delivery. Output utama: blueprint, scope lock, dan mobilization plan.</w:t>
      </w:r>
    </w:p>
    <w:p>
      <w:pPr>
        <w:pStyle w:val="ListNumber"/>
        <w:spacing w:before="0" w:after="80"/>
        <w:numPr>
          <w:ilvl w:val="0"/>
          <w:numId w:val="30"/>
        </w:numPr>
      </w:pPr>
      <w:r>
        <w:rPr>
          <w:b/>
          <w:i w:val="0"/>
        </w:rPr>
        <w:t>Phased Rollout</w:t>
      </w:r>
      <w:r>
        <w:rPr>
          <w:b w:val="0"/>
          <w:i w:val="0"/>
        </w:rPr>
        <w:t xml:space="preserve"> (Bulan 4-5): Eksekusi perubahan prioritas melalui workstream terukur. Output utama: deliverable inti dan milestone rollout.</w:t>
      </w:r>
    </w:p>
    <w:p>
      <w:pPr>
        <w:pStyle w:val="ListNumber"/>
        <w:spacing w:before="0" w:after="80"/>
        <w:numPr>
          <w:ilvl w:val="0"/>
          <w:numId w:val="30"/>
        </w:numPr>
      </w:pPr>
      <w:r>
        <w:rPr>
          <w:b/>
          <w:i w:val="0"/>
        </w:rPr>
        <w:t>Hypercare &amp; Stabilization</w:t>
      </w:r>
      <w:r>
        <w:rPr>
          <w:b w:val="0"/>
          <w:i w:val="0"/>
        </w:rPr>
        <w:t xml:space="preserve"> (Bulan 6): Amankan adopsi, kualitas layanan, dan transisi operasi. Output utama: stabilization report dan next-step backlog.</w:t>
      </w:r>
    </w:p>
    <w:p>
      <w:pPr>
        <w:pStyle w:val="Heading2"/>
      </w:pPr>
      <w:r>
        <w:rPr>
          <w:rFonts w:ascii="Arial" w:hAnsi="Arial"/>
          <w:b/>
          <w:color w:val="777973"/>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Bank Mandiri.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Readiness Assessment</w:t>
            </w:r>
          </w:p>
        </w:tc>
        <w:tc>
          <w:tcPr>
            <w:tcW w:type="dxa" w:w="2340"/>
          </w:tcPr>
          <w:p>
            <w:r>
              <w:rPr>
                <w:b w:val="0"/>
                <w:i w:val="0"/>
              </w:rPr>
              <w:t>Bulan 1</w:t>
            </w:r>
          </w:p>
        </w:tc>
        <w:tc>
          <w:tcPr>
            <w:tcW w:type="dxa" w:w="2340"/>
          </w:tcPr>
          <w:p>
            <w:r>
              <w:rPr>
                <w:b w:val="0"/>
                <w:i w:val="0"/>
              </w:rPr>
              <w:t>readiness view dan daftar gap</w:t>
            </w:r>
          </w:p>
        </w:tc>
        <w:tc>
          <w:tcPr>
            <w:tcW w:type="dxa" w:w="2340"/>
          </w:tcPr>
          <w:p>
            <w:r>
              <w:rPr>
                <w:b w:val="0"/>
                <w:i w:val="0"/>
              </w:rPr>
              <w:t>Menjaga progres opportunity</w:t>
            </w:r>
          </w:p>
        </w:tc>
      </w:tr>
      <w:tr>
        <w:tc>
          <w:tcPr>
            <w:tcW w:type="dxa" w:w="2340"/>
          </w:tcPr>
          <w:p>
            <w:r>
              <w:rPr>
                <w:b w:val="0"/>
                <w:i w:val="0"/>
              </w:rPr>
              <w:t>Blueprint &amp; Mobilization</w:t>
            </w:r>
          </w:p>
        </w:tc>
        <w:tc>
          <w:tcPr>
            <w:tcW w:type="dxa" w:w="2340"/>
          </w:tcPr>
          <w:p>
            <w:r>
              <w:rPr>
                <w:b w:val="0"/>
                <w:i w:val="0"/>
              </w:rPr>
              <w:t>Bulan 2-3</w:t>
            </w:r>
          </w:p>
        </w:tc>
        <w:tc>
          <w:tcPr>
            <w:tcW w:type="dxa" w:w="2340"/>
          </w:tcPr>
          <w:p>
            <w:r>
              <w:rPr>
                <w:b w:val="0"/>
                <w:i w:val="0"/>
              </w:rPr>
              <w:t>blueprint, scope lock, dan mobilization plan</w:t>
            </w:r>
          </w:p>
        </w:tc>
        <w:tc>
          <w:tcPr>
            <w:tcW w:type="dxa" w:w="2340"/>
          </w:tcPr>
          <w:p>
            <w:r>
              <w:rPr>
                <w:b w:val="0"/>
                <w:i w:val="0"/>
              </w:rPr>
              <w:t>Menjaga progres opportunity</w:t>
            </w:r>
          </w:p>
        </w:tc>
      </w:tr>
      <w:tr>
        <w:tc>
          <w:tcPr>
            <w:tcW w:type="dxa" w:w="2340"/>
          </w:tcPr>
          <w:p>
            <w:r>
              <w:rPr>
                <w:b w:val="0"/>
                <w:i w:val="0"/>
              </w:rPr>
              <w:t>Phased Rollout</w:t>
            </w:r>
          </w:p>
        </w:tc>
        <w:tc>
          <w:tcPr>
            <w:tcW w:type="dxa" w:w="2340"/>
          </w:tcPr>
          <w:p>
            <w:r>
              <w:rPr>
                <w:b w:val="0"/>
                <w:i w:val="0"/>
              </w:rPr>
              <w:t>Bulan 4-5</w:t>
            </w:r>
          </w:p>
        </w:tc>
        <w:tc>
          <w:tcPr>
            <w:tcW w:type="dxa" w:w="2340"/>
          </w:tcPr>
          <w:p>
            <w:r>
              <w:rPr>
                <w:b w:val="0"/>
                <w:i w:val="0"/>
              </w:rPr>
              <w:t>deliverable inti dan milestone rollout</w:t>
            </w:r>
          </w:p>
        </w:tc>
        <w:tc>
          <w:tcPr>
            <w:tcW w:type="dxa" w:w="2340"/>
          </w:tcPr>
          <w:p>
            <w:r>
              <w:rPr>
                <w:b w:val="0"/>
                <w:i w:val="0"/>
              </w:rPr>
              <w:t>Menjaga progres opportunity</w:t>
            </w:r>
          </w:p>
        </w:tc>
      </w:tr>
      <w:tr>
        <w:tc>
          <w:tcPr>
            <w:tcW w:type="dxa" w:w="2340"/>
          </w:tcPr>
          <w:p>
            <w:r>
              <w:rPr>
                <w:b w:val="0"/>
                <w:i w:val="0"/>
              </w:rPr>
              <w:t>Hypercare &amp; Stabilization</w:t>
            </w:r>
          </w:p>
        </w:tc>
        <w:tc>
          <w:tcPr>
            <w:tcW w:type="dxa" w:w="2340"/>
          </w:tcPr>
          <w:p>
            <w:r>
              <w:rPr>
                <w:b w:val="0"/>
                <w:i w:val="0"/>
              </w:rPr>
              <w:t>Bulan 6</w:t>
            </w:r>
          </w:p>
        </w:tc>
        <w:tc>
          <w:tcPr>
            <w:tcW w:type="dxa" w:w="2340"/>
          </w:tcPr>
          <w:p>
            <w:r>
              <w:rPr>
                <w:b w:val="0"/>
                <w:i w:val="0"/>
              </w:rPr>
              <w:t>stabilization report dan next-step backlog</w:t>
            </w:r>
          </w:p>
        </w:tc>
        <w:tc>
          <w:tcPr>
            <w:tcW w:type="dxa" w:w="2340"/>
          </w:tcPr>
          <w:p>
            <w:r>
              <w:rPr>
                <w:b w:val="0"/>
                <w:i w:val="0"/>
              </w:rPr>
              <w:t>Menjaga progres opportunity</w:t>
            </w:r>
          </w:p>
        </w:tc>
      </w:tr>
      <w:tr>
        <w:tc>
          <w:tcPr>
            <w:tcW w:type="dxa" w:w="2340"/>
          </w:tcPr>
          <w:p>
            <w:r>
              <w:rPr>
                <w:b w:val="0"/>
                <w:i w:val="0"/>
              </w:rPr>
              <w:t>- Konteks Bank Mandiri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bl>
    <w:p>
      <w:r>
        <w:br w:type="page"/>
      </w:r>
    </w:p>
    <w:p>
      <w:pPr>
        <w:pStyle w:val="Heading1"/>
        <w:jc w:val="center"/>
      </w:pPr>
      <w:r>
        <w:rPr>
          <w:color w:val="777973"/>
        </w:rPr>
        <w:t>BAB IX – TATA KELOLA PROYEK</w:t>
      </w:r>
    </w:p>
    <w:p>
      <w:r>
        <w:rPr>
          <w:b w:val="0"/>
          <w:i w:val="0"/>
        </w:rPr>
        <w:t>Tata kelola proyek untuk Bank Mandiri dirancang agar keputusan strategis, kontrol eksekusi, dan penanganan risiko berjalan dalam satu sistem kerja yang konsisten. Fokusnya adalah menjaga meningkatkan adopsi dan engagement livin' by mandiri melalui governance delivery, reliability layanan digital, dan roadmap transformasi yang terukur tetap selaras dengan KPI seperti MAU/Adopsi kanal digital: target pertumbuhan terukur dalam 6 bulan., sambil memakai istilah operasional nasabah, core banking, risk appetite agar koordinasi lintas pihak tidak kehilangan konteks.</w:t>
      </w:r>
    </w:p>
    <w:p>
      <w:pPr>
        <w:pStyle w:val="Heading2"/>
      </w:pPr>
      <w:r>
        <w:rPr>
          <w:rFonts w:ascii="Arial" w:hAnsi="Arial"/>
          <w:b/>
          <w:color w:val="777973"/>
        </w:rPr>
        <w:t>9.1 Mekanisme Pengambilan Keputusan</w:t>
      </w:r>
    </w:p>
    <w:p>
      <w:pPr>
        <w:pStyle w:val="ListNumber"/>
        <w:spacing w:before="0" w:after="80"/>
        <w:numPr>
          <w:ilvl w:val="0"/>
          <w:numId w:val="31"/>
        </w:numPr>
      </w:pPr>
      <w:r>
        <w:rPr>
          <w:b/>
          <w:i w:val="0"/>
        </w:rPr>
        <w:t>Steering Committee</w:t>
      </w:r>
      <w:r>
        <w:rPr>
          <w:b w:val="0"/>
          <w:i w:val="0"/>
        </w:rPr>
        <w:t xml:space="preserve"> menetapkan arah, prioritas, dan keputusan yang berdampak pada scope, biaya, atau timeline program Bank Mandiri.</w:t>
      </w:r>
    </w:p>
    <w:p>
      <w:pPr>
        <w:pStyle w:val="ListNumber"/>
        <w:spacing w:before="0" w:after="80"/>
        <w:numPr>
          <w:ilvl w:val="0"/>
          <w:numId w:val="31"/>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1"/>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1"/>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77973"/>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Bank Mandiri, pengendalian semacam ini penting karena program meningkatkan adopsi dan engagement livin' by mandiri melalui governance delivery, reliability layanan digital, dan roadmap transformasi yang terukur berpotensi melibatkan banyak dependency dan keputusan cepat. Oleh sebab itu, indikator kontrol tidak cukup hanya melihat status task, tetapi juga harus membaca dampaknya pada target bisnis, pengalaman nasabah, dan risiko operasional. - Konteks Bank Mandiri tetap menjadi acuan utama agar isi bab tidak bergeser menjadi generik. - Setiap butir pada bab ini harus bisa ditelusuri ke KPI, risiko, atau keputusan kerja yang nyata.</w:t>
      </w:r>
    </w:p>
    <w:p>
      <w:r>
        <w:rPr>
          <w:b w:val="0"/>
          <w:i w:val="0"/>
        </w:rPr>
        <w:t>Untuk Bank Mandiri, isi bab ini harus dibaca sebagai dasar keputusan kerja yang dapat ditindaklanjuti, bukan sekadar penjelasan konseptual. Karena itu, isi bab tetap diarahkan untuk menjaga relevansi terhadap KPI seperti MAU/Adopsi kanal digital: target pertumbuhan terukur dalam 6 bulan. dan istilah kerja nasabah, core banking.</w:t>
      </w:r>
    </w:p>
    <w:p>
      <w:r>
        <w:br w:type="page"/>
      </w:r>
    </w:p>
    <w:p>
      <w:pPr>
        <w:pStyle w:val="Heading1"/>
        <w:jc w:val="center"/>
      </w:pPr>
      <w:r>
        <w:rPr>
          <w:color w:val="777973"/>
        </w:rPr>
        <w:t>BAB X – PROFIL PERUSAHAAN</w:t>
      </w:r>
    </w:p>
    <w:p>
      <w:r>
        <w:rPr>
          <w:b w:val="0"/>
          <w:i w:val="0"/>
        </w:rPr>
        <w:t>Profil perusahaan pada proposal ini tidak dimaksudkan sebagai brosur umum, melainkan sebagai bukti bahwa Inixindo Jogja memiliki modal kerja yang relevan untuk membantu Bank Mandiri. Yang ditekankan bukan hanya deskripsi perusahaan, tetapi keterkaitan antara kapabilitas, pengalaman serupa, dan bentuk dukungan yang dibutuhkan oleh inisiatif meningkatkan adopsi dan engagement livin' by mandiri melalui governance delivery, reliability layanan digital, dan roadmap transformasi yang terukur (Data Internal, 2026).</w:t>
      </w:r>
    </w:p>
    <w:p>
      <w:pPr>
        <w:pStyle w:val="Heading2"/>
      </w:pPr>
      <w:r>
        <w:rPr>
          <w:rFonts w:ascii="Arial" w:hAnsi="Arial"/>
          <w:b/>
          <w:color w:val="777973"/>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nasabah, core banking, risk appetite.</w:t>
      </w:r>
    </w:p>
    <w:p>
      <w:pPr>
        <w:pStyle w:val="Heading2"/>
      </w:pPr>
      <w:r>
        <w:rPr>
          <w:rFonts w:ascii="Arial" w:hAnsi="Arial"/>
          <w:b/>
          <w:color w:val="777973"/>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transformation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Readiness Assessment 2. Phased Rollout 3. Change Management 4. Hypercare, 1x Program Manager, 2x Change Experts, 3x Tech Leads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Bank Mandiri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2"/>
        </w:numPr>
      </w:pPr>
      <w:r>
        <w:rPr>
          <w:b w:val="0"/>
          <w:i w:val="0"/>
        </w:rPr>
        <w:t>Prioritas implementasi untuk Bank Mandiri diarahkan agar tetap selaras dengan MAU/Adopsi kanal digital: target pertumbuhan terukur dalam 6 bulan..</w:t>
      </w:r>
    </w:p>
    <w:p>
      <w:pPr>
        <w:pStyle w:val="ListNumber"/>
        <w:spacing w:before="0" w:after="80"/>
        <w:numPr>
          <w:ilvl w:val="0"/>
          <w:numId w:val="32"/>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XI – STRUKTUR &amp; TENAGA AHLI PROYEK</w:t>
      </w:r>
    </w:p>
    <w:p>
      <w:r>
        <w:rPr>
          <w:b w:val="0"/>
          <w:i w:val="0"/>
        </w:rPr>
        <w:t>Struktur tim proyek untuk Bank Mandiri dibentuk agar pengambilan keputusan, pengawasan mutu, dan eksekusi lapangan bergerak seirama. Komposisi tim tidak diperlakukan sebagai daftar jabatan semata, tetapi sebagai mekanisme untuk menjaga kualitas output terhadap target MAU/Adopsi kanal digital: target pertumbuhan terukur dalam 6 bulan.</w:t>
      </w:r>
    </w:p>
    <w:p>
      <w:pPr>
        <w:pStyle w:val="Heading2"/>
      </w:pPr>
      <w:r>
        <w:rPr>
          <w:rFonts w:ascii="Arial" w:hAnsi="Arial"/>
          <w:b/>
          <w:color w:val="777973"/>
        </w:rPr>
        <w:t>11.1 Struktur Tim Proyek</w:t>
      </w:r>
    </w:p>
    <w:p>
      <w:pPr>
        <w:pStyle w:val="ListNumber"/>
        <w:spacing w:before="0" w:after="80"/>
        <w:numPr>
          <w:ilvl w:val="0"/>
          <w:numId w:val="33"/>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3"/>
        </w:numPr>
      </w:pPr>
      <w:r>
        <w:rPr>
          <w:b/>
          <w:i w:val="0"/>
        </w:rPr>
        <w:t>Project Manager / PMO Lead</w:t>
      </w:r>
      <w:r>
        <w:rPr>
          <w:b w:val="0"/>
          <w:i w:val="0"/>
        </w:rPr>
        <w:t xml:space="preserve"> mengendalikan ritme kerja, milestone, dan quality gate.</w:t>
      </w:r>
    </w:p>
    <w:p>
      <w:pPr>
        <w:pStyle w:val="ListNumber"/>
        <w:spacing w:before="0" w:after="80"/>
        <w:numPr>
          <w:ilvl w:val="0"/>
          <w:numId w:val="33"/>
        </w:numPr>
      </w:pPr>
      <w:r>
        <w:rPr>
          <w:b/>
          <w:i w:val="0"/>
        </w:rPr>
        <w:t>Lead Fungsional / Solusi</w:t>
      </w:r>
      <w:r>
        <w:rPr>
          <w:b w:val="0"/>
          <w:i w:val="0"/>
        </w:rPr>
        <w:t xml:space="preserve"> menjaga kualitas desain solusi dan relevansi output kerja.</w:t>
      </w:r>
    </w:p>
    <w:p>
      <w:pPr>
        <w:pStyle w:val="ListNumber"/>
        <w:spacing w:before="0" w:after="80"/>
        <w:numPr>
          <w:ilvl w:val="0"/>
          <w:numId w:val="33"/>
        </w:numPr>
      </w:pPr>
      <w:r>
        <w:rPr>
          <w:b/>
          <w:i w:val="0"/>
        </w:rPr>
        <w:t>Reviewer Governance / Quality</w:t>
      </w:r>
      <w:r>
        <w:rPr>
          <w:b w:val="0"/>
          <w:i w:val="0"/>
        </w:rPr>
        <w:t xml:space="preserve"> memastikan disiplin review, sign-off, dan kontrol risiko.</w:t>
      </w:r>
    </w:p>
    <w:p>
      <w:pPr>
        <w:pStyle w:val="Heading2"/>
      </w:pPr>
      <w:r>
        <w:rPr>
          <w:rFonts w:ascii="Arial" w:hAnsi="Arial"/>
          <w:b/>
          <w:color w:val="777973"/>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transformation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POJK</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Program Manager, 2x Change Experts, 3x Tech Leads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Bank Mandiri memperoleh gambaran yang lebih konkret mengenai siapa yang menjaga keputusan, siapa yang mengawal delivery, dan siapa yang mengamankan mutu hasil kerja. Pendekatan ini membuat bab tenaga ahli lebih mudah diaudit dan lebih meyakinkan bagi sponsor proyek.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XII – MODEL PEMBIAYAAN</w:t>
      </w:r>
    </w:p>
    <w:p>
      <w:r>
        <w:rPr>
          <w:b w:val="0"/>
          <w:i w:val="0"/>
        </w:rPr>
        <w:t>Model pembiayaan untuk Bank Mandiri disusun agar komitmen biaya, mekanisme pembayaran, dan batas ruang lingkup tetap jelas sejak awal. Tujuannya adalah menjaga proyek meningkatkan adopsi dan engagement livin' by mandiri melalui governance delivery, reliability layanan digital, dan roadmap transformasi yang terukur tetap dapat dieksekusi tanpa ambiguitas komersial, sambil memberi ruang kontrol terhadap perubahan yang benar-benar material dan memastikan investasi tetap tertaut pada manfaat yang dijanjikan: Inixindo Jogja menempatkan engagement Bank Mandiri sebagai upaya untuk mengubah kebutuhan klien menjadi program perubahan yang lebih terkendali, dengan memanfaatkan kapabilitas readiness assessment, rollout orchestration, change management, dan....</w:t>
      </w:r>
    </w:p>
    <w:p>
      <w:pPr>
        <w:pStyle w:val="Heading2"/>
      </w:pPr>
      <w:r>
        <w:rPr>
          <w:rFonts w:ascii="Arial" w:hAnsi="Arial"/>
          <w:b/>
          <w:color w:val="777973"/>
        </w:rPr>
        <w:t>12.1 Biaya dan Tahapan Pembayaran</w:t>
      </w:r>
    </w:p>
    <w:p>
      <w:r>
        <w:rPr>
          <w:b w:val="0"/>
          <w:i w:val="0"/>
        </w:rPr>
        <w:t>Estimasi investasi awal untuk engagement ini adalah</w:t>
      </w:r>
      <w:r>
        <w:rPr>
          <w:b/>
          <w:i w:val="0"/>
        </w:rPr>
        <w:t xml:space="preserve"> Rp 622.404.000</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6 Bulan</w:t>
      </w:r>
      <w:r>
        <w:rPr>
          <w:b w:val="0"/>
          <w:i w:val="0"/>
        </w:rPr>
        <w:t>. Baseline komersial internal yang menjadi acuan adalah Time &amp; Materials (T&amp;M) over 12-18 months.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622.404.000</w:t>
            </w:r>
          </w:p>
        </w:tc>
      </w:tr>
      <w:tr>
        <w:tc>
          <w:tcPr>
            <w:tcW w:type="dxa" w:w="4680"/>
          </w:tcPr>
          <w:p>
            <w:r>
              <w:rPr>
                <w:b w:val="0"/>
                <w:i w:val="0"/>
              </w:rPr>
              <w:t>Model engagement</w:t>
            </w:r>
          </w:p>
        </w:tc>
        <w:tc>
          <w:tcPr>
            <w:tcW w:type="dxa" w:w="4680"/>
          </w:tcPr>
          <w:p>
            <w:r>
              <w:rPr>
                <w:b w:val="0"/>
                <w:i w:val="0"/>
              </w:rPr>
              <w:t>Konsultan - Transformation</w:t>
            </w:r>
          </w:p>
        </w:tc>
      </w:tr>
      <w:tr>
        <w:tc>
          <w:tcPr>
            <w:tcW w:type="dxa" w:w="4680"/>
          </w:tcPr>
          <w:p>
            <w:r>
              <w:rPr>
                <w:b w:val="0"/>
                <w:i w:val="0"/>
              </w:rPr>
              <w:t>Durasi acuan</w:t>
            </w:r>
          </w:p>
        </w:tc>
        <w:tc>
          <w:tcPr>
            <w:tcW w:type="dxa" w:w="4680"/>
          </w:tcPr>
          <w:p>
            <w:r>
              <w:rPr>
                <w:b w:val="0"/>
                <w:i w:val="0"/>
              </w:rPr>
              <w:t>6 Bulan</w:t>
            </w:r>
          </w:p>
        </w:tc>
      </w:tr>
      <w:tr>
        <w:tc>
          <w:tcPr>
            <w:tcW w:type="dxa" w:w="4680"/>
          </w:tcPr>
          <w:p>
            <w:r>
              <w:rPr>
                <w:b w:val="0"/>
                <w:i w:val="0"/>
              </w:rPr>
              <w:t>Basis commercial</w:t>
            </w:r>
          </w:p>
        </w:tc>
        <w:tc>
          <w:tcPr>
            <w:tcW w:type="dxa" w:w="4680"/>
          </w:tcPr>
          <w:p>
            <w:r>
              <w:rPr>
                <w:b w:val="0"/>
                <w:i w:val="0"/>
              </w:rPr>
              <w:t>Time &amp; Materials (T&amp;M) over 12-18 months.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4"/>
        </w:numPr>
      </w:pPr>
      <w:r>
        <w:rPr>
          <w:b/>
          <w:i w:val="0"/>
        </w:rPr>
        <w:t>Mobilization &amp; readiness</w:t>
      </w:r>
      <w:r>
        <w:rPr>
          <w:b w:val="0"/>
          <w:i w:val="0"/>
        </w:rPr>
        <w:t xml:space="preserve"> sebesar 20% dari estimasi investasi, ditagihkan setelah milestone terkait diterima.</w:t>
      </w:r>
    </w:p>
    <w:p>
      <w:pPr>
        <w:pStyle w:val="ListNumber"/>
        <w:spacing w:before="0" w:after="80"/>
        <w:numPr>
          <w:ilvl w:val="0"/>
          <w:numId w:val="34"/>
        </w:numPr>
      </w:pPr>
      <w:r>
        <w:rPr>
          <w:b/>
          <w:i w:val="0"/>
        </w:rPr>
        <w:t>Blueprint &amp; governance setup</w:t>
      </w:r>
      <w:r>
        <w:rPr>
          <w:b w:val="0"/>
          <w:i w:val="0"/>
        </w:rPr>
        <w:t xml:space="preserve"> sebesar 30% dari estimasi investasi, ditagihkan setelah milestone terkait diterima.</w:t>
      </w:r>
    </w:p>
    <w:p>
      <w:pPr>
        <w:pStyle w:val="ListNumber"/>
        <w:spacing w:before="0" w:after="80"/>
        <w:numPr>
          <w:ilvl w:val="0"/>
          <w:numId w:val="34"/>
        </w:numPr>
      </w:pPr>
      <w:r>
        <w:rPr>
          <w:b/>
          <w:i w:val="0"/>
        </w:rPr>
        <w:t>Rollout milestone</w:t>
      </w:r>
      <w:r>
        <w:rPr>
          <w:b w:val="0"/>
          <w:i w:val="0"/>
        </w:rPr>
        <w:t xml:space="preserve"> sebesar 30% dari estimasi investasi, ditagihkan setelah milestone terkait diterima.</w:t>
      </w:r>
    </w:p>
    <w:p>
      <w:pPr>
        <w:pStyle w:val="ListNumber"/>
        <w:spacing w:before="0" w:after="80"/>
        <w:numPr>
          <w:ilvl w:val="0"/>
          <w:numId w:val="34"/>
        </w:numPr>
      </w:pPr>
      <w:r>
        <w:rPr>
          <w:b/>
          <w:i w:val="0"/>
        </w:rPr>
        <w:t>Hypercare &amp; closure</w:t>
      </w:r>
      <w:r>
        <w:rPr>
          <w:b w:val="0"/>
          <w:i w:val="0"/>
        </w:rPr>
        <w:t xml:space="preserve"> sebesar 20% dari estimasi investasi, ditagihkan setelah milestone terkait diterima.</w:t>
      </w:r>
    </w:p>
    <w:p>
      <w:pPr>
        <w:pStyle w:val="Heading2"/>
      </w:pPr>
      <w:r>
        <w:rPr>
          <w:rFonts w:ascii="Arial" w:hAnsi="Arial"/>
          <w:b/>
          <w:color w:val="777973"/>
        </w:rPr>
        <w:t>12.2 Model Pekerjaan dan Batasan Pekerjaan</w:t>
      </w:r>
    </w:p>
    <w:p>
      <w:r>
        <w:rPr>
          <w:b w:val="0"/>
          <w:i w:val="0"/>
        </w:rPr>
        <w:t>Model kerja dirancang agar ruang lingkup delivery tetap fokus pada kebutuhan opportunity dan KPI seperti MAU/Adopsi kanal digital: target pertumbuhan terukur dalam 6 bulan.. Karena itu, proposal komersial ini diposisikan sebagai baseline kerja yang transparan, bukan daftar komitmen tanpa batas. Untuk Bank Mandiri,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PENUTUP &amp; APRESIASI KEMITRAAN</w:t>
      </w:r>
    </w:p>
    <w:p>
      <w:r>
        <w:rPr>
          <w:b w:val="0"/>
          <w:i w:val="0"/>
        </w:rPr>
        <w:t>Terima kasih atas kesempatan yang diberikan kepada Inixindo Jogja untuk menyusun proposal bagi Bank Mandiri. Kami memandang inisiatif meningkatkan adopsi dan engagement livin' by mandiri melalui governance delivery, reliability layanan digital, dan roadmap transformasi yang terukur bukan hanya sebagai pekerjaan delivery, tetapi sebagai fondasi kemitraan profesional yang harus terasa rapi, hangat, dan dapat dipertanggungjawabkan.</w:t>
      </w:r>
    </w:p>
    <w:p>
      <w:pPr>
        <w:pStyle w:val="Heading2"/>
      </w:pPr>
      <w:r>
        <w:rPr>
          <w:rFonts w:ascii="Arial" w:hAnsi="Arial"/>
          <w:b/>
          <w:color w:val="777973"/>
        </w:rPr>
        <w:t>Apresiasi dan Komitmen Kemitraan</w:t>
      </w:r>
    </w:p>
    <w:p>
      <w:pPr>
        <w:pStyle w:val="ListNumber"/>
        <w:spacing w:before="0" w:after="80"/>
        <w:numPr>
          <w:ilvl w:val="0"/>
          <w:numId w:val="35"/>
        </w:numPr>
      </w:pPr>
      <w:r>
        <w:rPr>
          <w:b w:val="0"/>
          <w:i w:val="0"/>
        </w:rPr>
        <w:t>Kami mengapresiasi keterbukaan Bank Mandiri dalam mengangkat konteks, tantangan, dan target bisnis yang menjadi dasar proposal ini.</w:t>
      </w:r>
    </w:p>
    <w:p>
      <w:pPr>
        <w:pStyle w:val="ListNumber"/>
        <w:spacing w:before="0" w:after="80"/>
        <w:numPr>
          <w:ilvl w:val="0"/>
          <w:numId w:val="35"/>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5"/>
        </w:numPr>
      </w:pPr>
      <w:r>
        <w:rPr>
          <w:b w:val="0"/>
          <w:i w:val="0"/>
        </w:rPr>
        <w:t>Fokus awal kemitraan diarahkan pada prioritas seperti MAU/Adopsi kanal digital: target pertumbuhan terukur dalam 6 bulan., dengan tata kelola dan ritme eksekusi yang stabil sejak kickoff.</w:t>
      </w:r>
    </w:p>
    <w:p>
      <w:pPr>
        <w:pStyle w:val="Heading2"/>
      </w:pPr>
      <w:r>
        <w:rPr>
          <w:rFonts w:ascii="Arial" w:hAnsi="Arial"/>
          <w:b/>
          <w:color w:val="777973"/>
        </w:rPr>
        <w:t>Informasi Kontak dan Langkah Lanjutan</w:t>
      </w:r>
    </w:p>
    <w:p>
      <w:r>
        <w:rPr>
          <w:b w:val="0"/>
          <w:i w:val="0"/>
        </w:rPr>
        <w:t>Untuk melanjutkan pembahasan, Inixindo Jogja siap menindaklanjuti review proposal, penajaman ruang lingkup, dan penyesuaian komersial yang diperlukan. - Konteks Bank Mandiri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7"/>
  </w:num>
  <w:num w:numId="12">
    <w:abstractNumId w:val="8"/>
  </w:num>
  <w:num w:numId="13">
    <w:abstractNumId w:val="7"/>
  </w:num>
  <w:num w:numId="14">
    <w:abstractNumId w:val="7"/>
  </w:num>
  <w:num w:numId="15">
    <w:abstractNumId w:val="8"/>
  </w:num>
  <w:num w:numId="16">
    <w:abstractNumId w:val="8"/>
  </w:num>
  <w:num w:numId="17">
    <w:abstractNumId w:val="8"/>
  </w:num>
  <w:num w:numId="18">
    <w:abstractNumId w:val="7"/>
  </w:num>
  <w:num w:numId="19">
    <w:abstractNumId w:val="7"/>
  </w:num>
  <w:num w:numId="20">
    <w:abstractNumId w:val="7"/>
  </w:num>
  <w:num w:numId="21">
    <w:abstractNumId w:val="8"/>
  </w:num>
  <w:num w:numId="22">
    <w:abstractNumId w:val="7"/>
  </w:num>
  <w:num w:numId="23">
    <w:abstractNumId w:val="8"/>
  </w:num>
  <w:num w:numId="24">
    <w:abstractNumId w:val="8"/>
  </w:num>
  <w:num w:numId="25">
    <w:abstractNumId w:val="7"/>
  </w:num>
  <w:num w:numId="26">
    <w:abstractNumId w:val="7"/>
  </w:num>
  <w:num w:numId="27">
    <w:abstractNumId w:val="8"/>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