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6 Bulan Terakhir (Biannual)</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6 Bulan Terakhir (Biannual) berdasarkan 40 feedback tervalidasi. Analisis saat ini dibaca pada periode 6 Bulan Terakhir (Biannual), perspektif Learning Score dengan fokus pada kualitas instruktur, relevansi materi, kenyamanan belajar, dan hasil yang dirasakan peserta.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Cloud Native (AWS) serta pada isu Jadwal dan beban sesi. Learning Score diproyeksikan turun dari 64.7 menjadi sekitar 63.7 dalam semester berikutnya, atau sekitar April 2026 sampai Mei 2026, apabila pola saat ini berlanjut. Fokus tambahan yang diminta pengguna: Assess learning quality, instructor readiness, and what should be preserved vs improved.</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6 Bulan Terakhir (Biannual), perspektif Learning Score</w:t>
            </w:r>
          </w:p>
        </w:tc>
      </w:tr>
      <w:tr>
        <w:tc>
          <w:tcPr>
            <w:tcW w:type="dxa" w:w="4680"/>
          </w:tcPr>
          <w:p>
            <w:r>
              <w:t>Learning Score</w:t>
            </w:r>
          </w:p>
        </w:tc>
        <w:tc>
          <w:tcPr>
            <w:tcW w:type="dxa" w:w="4680"/>
          </w:tcPr>
          <w:p>
            <w:r>
              <w:t>64.7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Workshop AI Adoption Readiness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Yogyakarta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Cloud Native (AWS)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Workshop AI Adoption Readiness.</w:t>
      </w:r>
    </w:p>
    <w:p>
      <w:pPr>
        <w:pStyle w:val="ListBullet"/>
        <w:jc w:val="left"/>
      </w:pPr>
      <w:r>
        <w:rPr>
          <w:b w:val="0"/>
          <w:i w:val="0"/>
        </w:rPr>
        <w:t>Segmen dengan volume terbesar: BUMN / Corporate.</w:t>
      </w:r>
    </w:p>
    <w:p>
      <w:pPr>
        <w:pStyle w:val="ListBullet"/>
        <w:jc w:val="left"/>
      </w:pPr>
      <w:r>
        <w:rPr>
          <w:b w:val="0"/>
          <w:i w:val="0"/>
        </w:rPr>
        <w:t>Lokasi pelatihan dominan: Yogyakarta.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Learning Score saat ini: 64.7 dengan proyeksi turun ke 63.7.</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Cloud Native (AWS) dengan proporsi sinyal negatif 100.0%.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30811"/>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30811"/>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6 Bulan Terakhir (Biannual), perspektif Learning Score. Fokus pembacaannya menekankan kualitas instruktur, relevansi materi, kenyamanan belajar, dan hasil yang dirasakan peserta. Pada periode 6 Bulan Terakhir (Biannual), sistem memproses 40 feedback tervalidasi dengan rata-rata rating 3.25 dari 5, yang menunjukkan kinerja layanan berada pada kategori cukup, namun belum cukup stabil untuk dianggap kuat. Komposisi sentimen memperlihatkan 50.0% sinyal positif, 25.0%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Assess learning quality, instructor readiness, and what should be preserved vs improved.</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6 Bulan Terakhir (Biannual)</w:t>
            </w:r>
          </w:p>
        </w:tc>
      </w:tr>
      <w:tr>
        <w:tc>
          <w:tcPr>
            <w:tcW w:type="dxa" w:w="4680"/>
          </w:tcPr>
          <w:p>
            <w:r>
              <w:t>Cakupan analisis</w:t>
            </w:r>
          </w:p>
        </w:tc>
        <w:tc>
          <w:tcPr>
            <w:tcW w:type="dxa" w:w="4680"/>
          </w:tcPr>
          <w:p>
            <w:r>
              <w:t>periode 6 Bulan Terakhir (Biannual), perspektif Learning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Learning Score</w:t>
            </w:r>
          </w:p>
        </w:tc>
        <w:tc>
          <w:tcPr>
            <w:tcW w:type="dxa" w:w="4680"/>
          </w:tcPr>
          <w:p>
            <w:r>
              <w:t>64.7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Learning Score</w:t>
            </w:r>
          </w:p>
        </w:tc>
        <w:tc>
          <w:tcPr>
            <w:tcW w:type="dxa" w:w="2340"/>
          </w:tcPr>
          <w:p>
            <w:r>
              <w:t>64.7</w:t>
            </w:r>
          </w:p>
        </w:tc>
        <w:tc>
          <w:tcPr>
            <w:tcW w:type="dxa" w:w="2340"/>
          </w:tcPr>
          <w:p>
            <w:r>
              <w:t>Turun</w:t>
            </w:r>
          </w:p>
        </w:tc>
        <w:tc>
          <w:tcPr>
            <w:tcW w:type="dxa" w:w="2340"/>
          </w:tcPr>
          <w:p>
            <w:r>
              <w:t>Dampak hasil layanan</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20</w:t>
            </w:r>
          </w:p>
        </w:tc>
        <w:tc>
          <w:tcPr>
            <w:tcW w:type="dxa" w:w="3120"/>
          </w:tcPr>
          <w:p>
            <w:r>
              <w:t>50.0%</w:t>
            </w:r>
          </w:p>
        </w:tc>
      </w:tr>
      <w:tr>
        <w:tc>
          <w:tcPr>
            <w:tcW w:type="dxa" w:w="3120"/>
          </w:tcPr>
          <w:p>
            <w:r>
              <w:t>Netral</w:t>
            </w:r>
          </w:p>
        </w:tc>
        <w:tc>
          <w:tcPr>
            <w:tcW w:type="dxa" w:w="3120"/>
          </w:tcPr>
          <w:p>
            <w:r>
              <w:t>10</w:t>
            </w:r>
          </w:p>
        </w:tc>
        <w:tc>
          <w:tcPr>
            <w:tcW w:type="dxa" w:w="3120"/>
          </w:tcPr>
          <w:p>
            <w:r>
              <w:t>25.0%</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Workshop AI Adoption Readiness (4 feedback), Workshop Tata Kelola Data (4 feedback), Bootcamp Data Science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Workshop AI Adoption Readiness</w:t>
            </w:r>
          </w:p>
        </w:tc>
        <w:tc>
          <w:tcPr>
            <w:tcW w:type="dxa" w:w="3120"/>
          </w:tcPr>
          <w:p>
            <w:r>
              <w:t>4</w:t>
            </w:r>
          </w:p>
        </w:tc>
        <w:tc>
          <w:tcPr>
            <w:tcW w:type="dxa" w:w="3120"/>
          </w:tcPr>
          <w:p>
            <w:r>
              <w:t>10.0%</w:t>
            </w:r>
          </w:p>
        </w:tc>
      </w:tr>
      <w:tr>
        <w:tc>
          <w:tcPr>
            <w:tcW w:type="dxa" w:w="3120"/>
          </w:tcPr>
          <w:p>
            <w:r>
              <w:t>Workshop Tata Kelola Data</w:t>
            </w:r>
          </w:p>
        </w:tc>
        <w:tc>
          <w:tcPr>
            <w:tcW w:type="dxa" w:w="3120"/>
          </w:tcPr>
          <w:p>
            <w:r>
              <w:t>4</w:t>
            </w:r>
          </w:p>
        </w:tc>
        <w:tc>
          <w:tcPr>
            <w:tcW w:type="dxa" w:w="3120"/>
          </w:tcPr>
          <w:p>
            <w:r>
              <w:t>10.0%</w:t>
            </w:r>
          </w:p>
        </w:tc>
      </w:tr>
      <w:tr>
        <w:tc>
          <w:tcPr>
            <w:tcW w:type="dxa" w:w="3120"/>
          </w:tcPr>
          <w:p>
            <w:r>
              <w:t>Bootcamp Data Science</w:t>
            </w:r>
          </w:p>
        </w:tc>
        <w:tc>
          <w:tcPr>
            <w:tcW w:type="dxa" w:w="3120"/>
          </w:tcPr>
          <w:p>
            <w:r>
              <w:t>4</w:t>
            </w:r>
          </w:p>
        </w:tc>
        <w:tc>
          <w:tcPr>
            <w:tcW w:type="dxa" w:w="3120"/>
          </w:tcPr>
          <w:p>
            <w:r>
              <w:t>10.0%</w:t>
            </w:r>
          </w:p>
        </w:tc>
      </w:tr>
      <w:tr>
        <w:tc>
          <w:tcPr>
            <w:tcW w:type="dxa" w:w="3120"/>
          </w:tcPr>
          <w:p>
            <w:r>
              <w:t>Bootcamp Data untuk Dosen</w:t>
            </w:r>
          </w:p>
        </w:tc>
        <w:tc>
          <w:tcPr>
            <w:tcW w:type="dxa" w:w="3120"/>
          </w:tcPr>
          <w:p>
            <w:r>
              <w:t>4</w:t>
            </w:r>
          </w:p>
        </w:tc>
        <w:tc>
          <w:tcPr>
            <w:tcW w:type="dxa" w:w="3120"/>
          </w:tcPr>
          <w:p>
            <w:r>
              <w:t>10.0%</w:t>
            </w:r>
          </w:p>
        </w:tc>
      </w:tr>
      <w:tr>
        <w:tc>
          <w:tcPr>
            <w:tcW w:type="dxa" w:w="3120"/>
          </w:tcPr>
          <w:p>
            <w:r>
              <w:t>Technical Sales Workshop</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30.0%.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40.0%</w:t>
            </w:r>
          </w:p>
        </w:tc>
        <w:tc>
          <w:tcPr>
            <w:tcW w:type="dxa" w:w="1337"/>
          </w:tcPr>
          <w:p>
            <w:r>
              <w:t>30.0%</w:t>
            </w:r>
          </w:p>
        </w:tc>
        <w:tc>
          <w:tcPr>
            <w:tcW w:type="dxa" w:w="1337"/>
          </w:tcPr>
          <w:p>
            <w:r>
              <w:t>Jadwal dan beban sesi</w:t>
            </w:r>
          </w:p>
        </w:tc>
      </w:tr>
      <w:tr>
        <w:tc>
          <w:tcPr>
            <w:tcW w:type="dxa" w:w="1337"/>
          </w:tcPr>
          <w:p>
            <w:r>
              <w:t>Pelaksanaan Layanan</w:t>
            </w:r>
          </w:p>
        </w:tc>
        <w:tc>
          <w:tcPr>
            <w:tcW w:type="dxa" w:w="1337"/>
          </w:tcPr>
          <w:p>
            <w:r>
              <w:t>10</w:t>
            </w:r>
          </w:p>
        </w:tc>
        <w:tc>
          <w:tcPr>
            <w:tcW w:type="dxa" w:w="1337"/>
          </w:tcPr>
          <w:p>
            <w:r>
              <w:t>3.2</w:t>
            </w:r>
          </w:p>
        </w:tc>
        <w:tc>
          <w:tcPr>
            <w:tcW w:type="dxa" w:w="1337"/>
          </w:tcPr>
          <w:p>
            <w:r>
              <w:t>50.0%</w:t>
            </w:r>
          </w:p>
        </w:tc>
        <w:tc>
          <w:tcPr>
            <w:tcW w:type="dxa" w:w="1337"/>
          </w:tcPr>
          <w:p>
            <w:r>
              <w:t>20.0%</w:t>
            </w:r>
          </w:p>
        </w:tc>
        <w:tc>
          <w:tcPr>
            <w:tcW w:type="dxa" w:w="1337"/>
          </w:tcPr>
          <w:p>
            <w:r>
              <w:t>30.0%</w:t>
            </w:r>
          </w:p>
        </w:tc>
        <w:tc>
          <w:tcPr>
            <w:tcW w:type="dxa" w:w="1337"/>
          </w:tcPr>
          <w:p>
            <w:r>
              <w:t>Kualitas instruktur atau konsultan</w:t>
            </w:r>
          </w:p>
        </w:tc>
      </w:tr>
      <w:tr>
        <w:tc>
          <w:tcPr>
            <w:tcW w:type="dxa" w:w="1337"/>
          </w:tcPr>
          <w:p>
            <w:r>
              <w:t>Pra-Layanan dan Ekspektasi</w:t>
            </w:r>
          </w:p>
        </w:tc>
        <w:tc>
          <w:tcPr>
            <w:tcW w:type="dxa" w:w="1337"/>
          </w:tcPr>
          <w:p>
            <w:r>
              <w:t>10</w:t>
            </w:r>
          </w:p>
        </w:tc>
        <w:tc>
          <w:tcPr>
            <w:tcW w:type="dxa" w:w="1337"/>
          </w:tcPr>
          <w:p>
            <w:r>
              <w:t>3.4</w:t>
            </w:r>
          </w:p>
        </w:tc>
        <w:tc>
          <w:tcPr>
            <w:tcW w:type="dxa" w:w="1337"/>
          </w:tcPr>
          <w:p>
            <w:r>
              <w:t>50.0%</w:t>
            </w:r>
          </w:p>
        </w:tc>
        <w:tc>
          <w:tcPr>
            <w:tcW w:type="dxa" w:w="1337"/>
          </w:tcPr>
          <w:p>
            <w:r>
              <w:t>30.0%</w:t>
            </w:r>
          </w:p>
        </w:tc>
        <w:tc>
          <w:tcPr>
            <w:tcW w:type="dxa" w:w="1337"/>
          </w:tcPr>
          <w:p>
            <w:r>
              <w:t>20.0%</w:t>
            </w:r>
          </w:p>
        </w:tc>
        <w:tc>
          <w:tcPr>
            <w:tcW w:type="dxa" w:w="1337"/>
          </w:tcPr>
          <w:p>
            <w:r>
              <w:t>Komunikasi dan koordinasi</w:t>
            </w:r>
          </w:p>
        </w:tc>
      </w:tr>
      <w:tr>
        <w:tc>
          <w:tcPr>
            <w:tcW w:type="dxa" w:w="1337"/>
          </w:tcPr>
          <w:p>
            <w:r>
              <w:t>Tindak Lanjut dan Outcome</w:t>
            </w:r>
          </w:p>
        </w:tc>
        <w:tc>
          <w:tcPr>
            <w:tcW w:type="dxa" w:w="1337"/>
          </w:tcPr>
          <w:p>
            <w:r>
              <w:t>10</w:t>
            </w:r>
          </w:p>
        </w:tc>
        <w:tc>
          <w:tcPr>
            <w:tcW w:type="dxa" w:w="1337"/>
          </w:tcPr>
          <w:p>
            <w:r>
              <w:t>3.4</w:t>
            </w:r>
          </w:p>
        </w:tc>
        <w:tc>
          <w:tcPr>
            <w:tcW w:type="dxa" w:w="1337"/>
          </w:tcPr>
          <w:p>
            <w:r>
              <w:t>70.0%</w:t>
            </w:r>
          </w:p>
        </w:tc>
        <w:tc>
          <w:tcPr>
            <w:tcW w:type="dxa" w:w="1337"/>
          </w:tcPr>
          <w:p>
            <w:r>
              <w:t>10.0%</w:t>
            </w:r>
          </w:p>
        </w:tc>
        <w:tc>
          <w:tcPr>
            <w:tcW w:type="dxa" w:w="1337"/>
          </w:tcPr>
          <w:p>
            <w:r>
              <w:t>20.0%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Yogyakarta (14 feedback), Jakarta (11 feedback), Online Live (6 feedback). Dari sisi tipe instruktur, komposisi saat ini didominasi oleh Internal (28 feedback), OL (12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Yogyakarta</w:t>
            </w:r>
          </w:p>
        </w:tc>
        <w:tc>
          <w:tcPr>
            <w:tcW w:type="dxa" w:w="3120"/>
          </w:tcPr>
          <w:p>
            <w:r>
              <w:t>14</w:t>
            </w:r>
          </w:p>
        </w:tc>
        <w:tc>
          <w:tcPr>
            <w:tcW w:type="dxa" w:w="3120"/>
          </w:tcPr>
          <w:p>
            <w:r>
              <w:t>35.0%</w:t>
            </w:r>
          </w:p>
        </w:tc>
      </w:tr>
      <w:tr>
        <w:tc>
          <w:tcPr>
            <w:tcW w:type="dxa" w:w="3120"/>
          </w:tcPr>
          <w:p>
            <w:r>
              <w:t>Jakarta</w:t>
            </w:r>
          </w:p>
        </w:tc>
        <w:tc>
          <w:tcPr>
            <w:tcW w:type="dxa" w:w="3120"/>
          </w:tcPr>
          <w:p>
            <w:r>
              <w:t>11</w:t>
            </w:r>
          </w:p>
        </w:tc>
        <w:tc>
          <w:tcPr>
            <w:tcW w:type="dxa" w:w="3120"/>
          </w:tcPr>
          <w:p>
            <w:r>
              <w:t>27.5%</w:t>
            </w:r>
          </w:p>
        </w:tc>
      </w:tr>
      <w:tr>
        <w:tc>
          <w:tcPr>
            <w:tcW w:type="dxa" w:w="3120"/>
          </w:tcPr>
          <w:p>
            <w:r>
              <w:t>Online Live</w:t>
            </w:r>
          </w:p>
        </w:tc>
        <w:tc>
          <w:tcPr>
            <w:tcW w:type="dxa" w:w="3120"/>
          </w:tcPr>
          <w:p>
            <w:r>
              <w:t>6</w:t>
            </w:r>
          </w:p>
        </w:tc>
        <w:tc>
          <w:tcPr>
            <w:tcW w:type="dxa" w:w="3120"/>
          </w:tcPr>
          <w:p>
            <w:r>
              <w:t>15.0%</w:t>
            </w:r>
          </w:p>
        </w:tc>
      </w:tr>
      <w:tr>
        <w:tc>
          <w:tcPr>
            <w:tcW w:type="dxa" w:w="3120"/>
          </w:tcPr>
          <w:p>
            <w:r>
              <w:t>Semarang</w:t>
            </w:r>
          </w:p>
        </w:tc>
        <w:tc>
          <w:tcPr>
            <w:tcW w:type="dxa" w:w="3120"/>
          </w:tcPr>
          <w:p>
            <w:r>
              <w:t>4</w:t>
            </w:r>
          </w:p>
        </w:tc>
        <w:tc>
          <w:tcPr>
            <w:tcW w:type="dxa" w:w="3120"/>
          </w:tcPr>
          <w:p>
            <w:r>
              <w:t>10.0%</w:t>
            </w:r>
          </w:p>
        </w:tc>
      </w:tr>
      <w:tr>
        <w:tc>
          <w:tcPr>
            <w:tcW w:type="dxa" w:w="3120"/>
          </w:tcPr>
          <w:p>
            <w:r>
              <w:t>Surabaya</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28</w:t>
            </w:r>
          </w:p>
        </w:tc>
        <w:tc>
          <w:tcPr>
            <w:tcW w:type="dxa" w:w="3120"/>
          </w:tcPr>
          <w:p>
            <w:r>
              <w:t>70.0%</w:t>
            </w:r>
          </w:p>
        </w:tc>
      </w:tr>
      <w:tr>
        <w:tc>
          <w:tcPr>
            <w:tcW w:type="dxa" w:w="3120"/>
          </w:tcPr>
          <w:p>
            <w:r>
              <w:t>OL</w:t>
            </w:r>
          </w:p>
        </w:tc>
        <w:tc>
          <w:tcPr>
            <w:tcW w:type="dxa" w:w="3120"/>
          </w:tcPr>
          <w:p>
            <w:r>
              <w:t>12</w:t>
            </w:r>
          </w:p>
        </w:tc>
        <w:tc>
          <w:tcPr>
            <w:tcW w:type="dxa" w:w="3120"/>
          </w:tcPr>
          <w:p>
            <w:r>
              <w:t>30.0%</w:t>
            </w:r>
          </w:p>
        </w:tc>
      </w:tr>
    </w:tbl>
    <w:p>
      <w:pPr>
        <w:pStyle w:val="Heading3"/>
      </w:pPr>
      <w:r>
        <w:t>Cakupan sumber dan kanal</w:t>
      </w:r>
    </w:p>
    <w:p>
      <w:pPr>
        <w:jc w:val="both"/>
      </w:pPr>
      <w:r>
        <w:rPr>
          <w:b w:val="0"/>
          <w:i w:val="0"/>
        </w:rPr>
        <w:t>Dari sisi asal data, sumber yang paling dominan saat ini adalah Executive Follow-up, Account Review, Project Coordination Log. Pada saat yang sama, kanal yang tercatat masih didominasi oleh Google Form, Email, Meeting Notes.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Account Review, Project Coordination Log</w:t>
      </w:r>
    </w:p>
    <w:p>
      <w:pPr>
        <w:pStyle w:val="ListBullet"/>
        <w:jc w:val="left"/>
      </w:pPr>
      <w:r>
        <w:rPr>
          <w:b w:val="0"/>
          <w:i w:val="0"/>
        </w:rPr>
        <w:t>Kanal utama: Google Form, Email, Meeting Notes</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Learning Score, perhatian diagnosis terutama diarahkan ke kualitas instruktur, relevansi materi, kenyamanan belajar, dan hasil yang dirasakan peserta. Tema keluhan paling dominan saat ini adalah Dampak hasil layanan, yang berulang pada beberapa komentar pelanggan. Di sisi lain, kekuatan yang paling konsisten terlihat pada Jadwal dan beban sesi.</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Dampak hasil layanan</w:t>
            </w:r>
          </w:p>
        </w:tc>
        <w:tc>
          <w:tcPr>
            <w:tcW w:type="dxa" w:w="2340"/>
          </w:tcPr>
          <w:p>
            <w:r>
              <w:t>4</w:t>
            </w:r>
          </w:p>
        </w:tc>
        <w:tc>
          <w:tcPr>
            <w:tcW w:type="dxa" w:w="2340"/>
          </w:tcPr>
          <w:p>
            <w:r>
              <w:t>Workshop AI Adoption Readiness, Workshop Tata Kelola Data</w:t>
            </w:r>
          </w:p>
        </w:tc>
        <w:tc>
          <w:tcPr>
            <w:tcW w:type="dxa" w:w="2340"/>
          </w:tcPr>
          <w:p>
            <w:r>
              <w:t>Mahasiswa / Personal, Instansi Pemerintah (Gov)</w:t>
            </w:r>
          </w:p>
        </w:tc>
      </w:tr>
      <w:tr>
        <w:tc>
          <w:tcPr>
            <w:tcW w:type="dxa" w:w="2340"/>
          </w:tcPr>
          <w:p>
            <w:r>
              <w:t>Jadwal dan beban sesi</w:t>
            </w:r>
          </w:p>
        </w:tc>
        <w:tc>
          <w:tcPr>
            <w:tcW w:type="dxa" w:w="2340"/>
          </w:tcPr>
          <w:p>
            <w:r>
              <w:t>4</w:t>
            </w:r>
          </w:p>
        </w:tc>
        <w:tc>
          <w:tcPr>
            <w:tcW w:type="dxa" w:w="2340"/>
          </w:tcPr>
          <w:p>
            <w:r>
              <w:t>Bootcamp Data untuk Dosen, Pelatihan IT Security</w:t>
            </w:r>
          </w:p>
        </w:tc>
        <w:tc>
          <w:tcPr>
            <w:tcW w:type="dxa" w:w="2340"/>
          </w:tcPr>
          <w:p>
            <w:r>
              <w:t>Sekolah / Universitas, BUMN / Corporate</w:t>
            </w:r>
          </w:p>
        </w:tc>
      </w:tr>
      <w:tr>
        <w:tc>
          <w:tcPr>
            <w:tcW w:type="dxa" w:w="2340"/>
          </w:tcPr>
          <w:p>
            <w:r>
              <w:t>Materi dan relevansi konten</w:t>
            </w:r>
          </w:p>
        </w:tc>
        <w:tc>
          <w:tcPr>
            <w:tcW w:type="dxa" w:w="2340"/>
          </w:tcPr>
          <w:p>
            <w:r>
              <w:t>1</w:t>
            </w:r>
          </w:p>
        </w:tc>
        <w:tc>
          <w:tcPr>
            <w:tcW w:type="dxa" w:w="2340"/>
          </w:tcPr>
          <w:p>
            <w:r>
              <w:t>Pelatihan IT Security, Workshop AI Adoption Readiness</w:t>
            </w:r>
          </w:p>
        </w:tc>
        <w:tc>
          <w:tcPr>
            <w:tcW w:type="dxa" w:w="2340"/>
          </w:tcPr>
          <w:p>
            <w:r>
              <w:t>BUMN / Corporate, Mahasiswa / Personal</w:t>
            </w:r>
          </w:p>
        </w:tc>
      </w:tr>
    </w:tbl>
    <w:p>
      <w:pPr>
        <w:pStyle w:val="ListBullet"/>
        <w:jc w:val="left"/>
      </w:pPr>
      <w:r>
        <w:rPr>
          <w:b w:val="0"/>
          <w:i w:val="0"/>
        </w:rPr>
        <w:t>Dampak hasil layanan: 4 sinyal negatif. Layanan terdampak: Workshop AI Adoption Readiness, Workshop Tata Kelola Data. Segmen terdampak: Mahasiswa / Personal, Instansi Pemerintah (Gov).</w:t>
      </w:r>
    </w:p>
    <w:p>
      <w:pPr>
        <w:pStyle w:val="ListBullet"/>
        <w:jc w:val="left"/>
      </w:pPr>
      <w:r>
        <w:rPr>
          <w:b w:val="0"/>
          <w:i w:val="0"/>
        </w:rPr>
        <w:t>Jadwal dan beban sesi: 4 sinyal negatif. Layanan terdampak: Bootcamp Data untuk Dosen, Pelatihan IT Security. Segmen terdampak: Sekolah / Universitas, BUMN / Corporate.</w:t>
      </w:r>
    </w:p>
    <w:p>
      <w:pPr>
        <w:pStyle w:val="ListBullet"/>
        <w:jc w:val="left"/>
      </w:pPr>
      <w:r>
        <w:rPr>
          <w:b w:val="0"/>
          <w:i w:val="0"/>
        </w:rPr>
        <w:t>Materi dan relevansi konten: 1 sinyal negatif. Layanan terdampak: Pelatihan IT Security, Workshop AI Adoption Readiness. Segmen terdampak: BUMN / Corporate, Mahasiswa / Personal.</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13</w:t>
            </w:r>
          </w:p>
        </w:tc>
        <w:tc>
          <w:tcPr>
            <w:tcW w:type="dxa" w:w="3120"/>
          </w:tcPr>
          <w:p>
            <w:r>
              <w:t>Bootcamp Data untuk Dosen, Pelatihan IT Security</w:t>
            </w:r>
          </w:p>
        </w:tc>
      </w:tr>
      <w:tr>
        <w:tc>
          <w:tcPr>
            <w:tcW w:type="dxa" w:w="3120"/>
          </w:tcPr>
          <w:p>
            <w:r>
              <w:t>Dampak hasil layanan</w:t>
            </w:r>
          </w:p>
        </w:tc>
        <w:tc>
          <w:tcPr>
            <w:tcW w:type="dxa" w:w="3120"/>
          </w:tcPr>
          <w:p>
            <w:r>
              <w:t>10</w:t>
            </w:r>
          </w:p>
        </w:tc>
        <w:tc>
          <w:tcPr>
            <w:tcW w:type="dxa" w:w="3120"/>
          </w:tcPr>
          <w:p>
            <w:r>
              <w:t>Workshop AI Adoption Readiness, Workshop Tata Kelola Data</w:t>
            </w:r>
          </w:p>
        </w:tc>
      </w:tr>
      <w:tr>
        <w:tc>
          <w:tcPr>
            <w:tcW w:type="dxa" w:w="3120"/>
          </w:tcPr>
          <w:p>
            <w:r>
              <w:t>Komunikasi dan koordinasi</w:t>
            </w:r>
          </w:p>
        </w:tc>
        <w:tc>
          <w:tcPr>
            <w:tcW w:type="dxa" w:w="3120"/>
          </w:tcPr>
          <w:p>
            <w:r>
              <w:t>10</w:t>
            </w:r>
          </w:p>
        </w:tc>
        <w:tc>
          <w:tcPr>
            <w:tcW w:type="dxa" w:w="3120"/>
          </w:tcPr>
          <w:p>
            <w:r>
              <w:t>Workshop AI Adoption Readiness, Workshop Tata Kelola Data</w:t>
            </w:r>
          </w:p>
        </w:tc>
      </w:tr>
    </w:tbl>
    <w:p>
      <w:pPr>
        <w:pStyle w:val="ListBullet"/>
        <w:jc w:val="left"/>
      </w:pPr>
      <w:r>
        <w:rPr>
          <w:b w:val="0"/>
          <w:i w:val="0"/>
        </w:rPr>
        <w:t>Jadwal dan beban sesi: 13 sinyal positif. Paling banyak muncul pada layanan Bootcamp Data untuk Dosen, Pelatihan IT Security.</w:t>
      </w:r>
    </w:p>
    <w:p>
      <w:pPr>
        <w:pStyle w:val="ListBullet"/>
        <w:jc w:val="left"/>
      </w:pPr>
      <w:r>
        <w:rPr>
          <w:b w:val="0"/>
          <w:i w:val="0"/>
        </w:rPr>
        <w:t>Dampak hasil layanan: 10 sinyal positif. Paling banyak muncul pada layanan Workshop AI Adoption Readiness, Workshop Tata Kelola Data.</w:t>
      </w:r>
    </w:p>
    <w:p>
      <w:pPr>
        <w:pStyle w:val="ListBullet"/>
        <w:jc w:val="left"/>
      </w:pPr>
      <w:r>
        <w:rPr>
          <w:b w:val="0"/>
          <w:i w:val="0"/>
        </w:rPr>
        <w:t>Komunikasi dan koordinasi: 10 sinyal positif. Paling banyak muncul pada layanan Workshop AI Adoption Readiness, Workshop Tata Kelola Data.</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30.0%.</w:t>
      </w:r>
    </w:p>
    <w:p>
      <w:pPr>
        <w:pStyle w:val="Heading3"/>
      </w:pPr>
      <w:r>
        <w:t>Kutipan keluhan representatif</w:t>
      </w:r>
    </w:p>
    <w:p>
      <w:pPr>
        <w:pStyle w:val="ListBullet"/>
        <w:jc w:val="left"/>
      </w:pPr>
      <w:r>
        <w:rPr>
          <w:b w:val="0"/>
          <w:i w:val="0"/>
        </w:rPr>
        <w:t>"Instruktur Workshop Tata Kelola Data kurang konsisten menjawab pertanyaan lanjutan dan beberapa penjelasan terasa terlalu umum untuk kebutuhan instansi pemerintah." (Instansi Pemerintah (Gov) | Workshop Tata Kelola Data | rating 2)</w:t>
      </w:r>
    </w:p>
    <w:p>
      <w:pPr>
        <w:pStyle w:val="ListBullet"/>
        <w:jc w:val="left"/>
      </w:pPr>
      <w:r>
        <w:rPr>
          <w:b w:val="0"/>
          <w:i w:val="0"/>
        </w:rPr>
        <w:t>"Setelah Workshop Tata Kelola Data selesai, manfaat yang dirasakan belum kuat, tindak lanjut kurang jelas, dan output akhirnya belum mudah dipakai oleh tim instansi pemerintah." (Instansi Pemerintah (Gov) | Workshop Tata Kelola Data | rating 1)</w:t>
      </w:r>
    </w:p>
    <w:p>
      <w:pPr>
        <w:pStyle w:val="ListBullet"/>
        <w:jc w:val="left"/>
      </w:pPr>
      <w:r>
        <w:rPr>
          <w:b w:val="0"/>
          <w:i w:val="0"/>
        </w:rPr>
        <w:t>"Fasilitas ruang untuk Pelatihan Cloud Native (AWS) kurang siap; wifi sering putus, AC tidak stabil, dan setup lab terlambat saat sesi dimulai untuk BUMN / corporate." (BUMN / Corporate | Pelatihan Cloud Native (AWS) | rating 2)</w:t>
      </w:r>
    </w:p>
    <w:p>
      <w:pPr>
        <w:pStyle w:val="Heading3"/>
      </w:pPr>
      <w:r>
        <w:t>Kutipan apresiasi representatif</w:t>
      </w:r>
    </w:p>
    <w:p>
      <w:pPr>
        <w:pStyle w:val="ListBullet"/>
        <w:jc w:val="left"/>
      </w:pPr>
      <w:r>
        <w:rPr>
          <w:b w:val="0"/>
          <w:i w:val="0"/>
        </w:rPr>
        <w:t>"Secara umum pengalaman layanan sudah cukup baik, tetapi organisasi masih meminta komunikasi, jadwal, dan tindak lanjut hasil dibuat lebih konsisten agar manfaatnya terasa merata." (BUMN / Corporate | Workshop AI Adoption Readiness | rating 4)</w:t>
      </w:r>
    </w:p>
    <w:p>
      <w:pPr>
        <w:pStyle w:val="ListBullet"/>
        <w:jc w:val="left"/>
      </w:pPr>
      <w:r>
        <w:rPr>
          <w:b w:val="0"/>
          <w:i w:val="0"/>
        </w:rPr>
        <w:t>"Tim account untuk Workshop Tata Kelola Data cepat merespons pertanyaan dan follow up sangat jelas, sehingga koordinasi dengan instansi pemerintah berjalan lancar sejak awal." (Instansi Pemerintah (Gov) | Workshop Tata Kelola Data | rating 4)</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Cloud Native (AWS)</w:t>
            </w:r>
          </w:p>
        </w:tc>
        <w:tc>
          <w:tcPr>
            <w:tcW w:type="dxa" w:w="1872"/>
          </w:tcPr>
          <w:p>
            <w:r>
              <w:t>1.5</w:t>
            </w:r>
          </w:p>
        </w:tc>
        <w:tc>
          <w:tcPr>
            <w:tcW w:type="dxa" w:w="1872"/>
          </w:tcPr>
          <w:p>
            <w:r>
              <w:t>100.0%</w:t>
            </w:r>
          </w:p>
        </w:tc>
        <w:tc>
          <w:tcPr>
            <w:tcW w:type="dxa" w:w="1872"/>
          </w:tcPr>
          <w:p>
            <w:r>
              <w:t>2</w:t>
            </w:r>
          </w:p>
        </w:tc>
        <w:tc>
          <w:tcPr>
            <w:tcW w:type="dxa" w:w="1872"/>
          </w:tcPr>
          <w:p>
            <w:r>
              <w:t>93.0</w:t>
            </w:r>
          </w:p>
        </w:tc>
      </w:tr>
      <w:tr>
        <w:tc>
          <w:tcPr>
            <w:tcW w:type="dxa" w:w="1872"/>
          </w:tcPr>
          <w:p>
            <w:r>
              <w:t>Sertifikasi Cisco (CCNA)</w:t>
            </w:r>
          </w:p>
        </w:tc>
        <w:tc>
          <w:tcPr>
            <w:tcW w:type="dxa" w:w="1872"/>
          </w:tcPr>
          <w:p>
            <w:r>
              <w:t>1.5</w:t>
            </w:r>
          </w:p>
        </w:tc>
        <w:tc>
          <w:tcPr>
            <w:tcW w:type="dxa" w:w="1872"/>
          </w:tcPr>
          <w:p>
            <w:r>
              <w:t>100.0%</w:t>
            </w:r>
          </w:p>
        </w:tc>
        <w:tc>
          <w:tcPr>
            <w:tcW w:type="dxa" w:w="1872"/>
          </w:tcPr>
          <w:p>
            <w:r>
              <w:t>2</w:t>
            </w:r>
          </w:p>
        </w:tc>
        <w:tc>
          <w:tcPr>
            <w:tcW w:type="dxa" w:w="1872"/>
          </w:tcPr>
          <w:p>
            <w:r>
              <w:t>93.0</w:t>
            </w:r>
          </w:p>
        </w:tc>
      </w:tr>
      <w:tr>
        <w:tc>
          <w:tcPr>
            <w:tcW w:type="dxa" w:w="1872"/>
          </w:tcPr>
          <w:p>
            <w:r>
              <w:t>Enablement Partner Teknologi</w:t>
            </w:r>
          </w:p>
        </w:tc>
        <w:tc>
          <w:tcPr>
            <w:tcW w:type="dxa" w:w="1872"/>
          </w:tcPr>
          <w:p>
            <w:r>
              <w:t>2.0</w:t>
            </w:r>
          </w:p>
        </w:tc>
        <w:tc>
          <w:tcPr>
            <w:tcW w:type="dxa" w:w="1872"/>
          </w:tcPr>
          <w:p>
            <w:r>
              <w:t>50.0%</w:t>
            </w:r>
          </w:p>
        </w:tc>
        <w:tc>
          <w:tcPr>
            <w:tcW w:type="dxa" w:w="1872"/>
          </w:tcPr>
          <w:p>
            <w:r>
              <w:t>2</w:t>
            </w:r>
          </w:p>
        </w:tc>
        <w:tc>
          <w:tcPr>
            <w:tcW w:type="dxa" w:w="1872"/>
          </w:tcPr>
          <w:p>
            <w:r>
              <w:t>55.0</w:t>
            </w:r>
          </w:p>
        </w:tc>
      </w:tr>
      <w:tr>
        <w:tc>
          <w:tcPr>
            <w:tcW w:type="dxa" w:w="1872"/>
          </w:tcPr>
          <w:p>
            <w:r>
              <w:t>Bootcamp Data untuk Dosen</w:t>
            </w:r>
          </w:p>
        </w:tc>
        <w:tc>
          <w:tcPr>
            <w:tcW w:type="dxa" w:w="1872"/>
          </w:tcPr>
          <w:p>
            <w:r>
              <w:t>2.5</w:t>
            </w:r>
          </w:p>
        </w:tc>
        <w:tc>
          <w:tcPr>
            <w:tcW w:type="dxa" w:w="1872"/>
          </w:tcPr>
          <w:p>
            <w:r>
              <w:t>50.0%</w:t>
            </w:r>
          </w:p>
        </w:tc>
        <w:tc>
          <w:tcPr>
            <w:tcW w:type="dxa" w:w="1872"/>
          </w:tcPr>
          <w:p>
            <w:r>
              <w:t>4</w:t>
            </w:r>
          </w:p>
        </w:tc>
        <w:tc>
          <w:tcPr>
            <w:tcW w:type="dxa" w:w="1872"/>
          </w:tcPr>
          <w:p>
            <w:r>
              <w:t>54.0</w:t>
            </w:r>
          </w:p>
        </w:tc>
      </w:tr>
      <w:tr>
        <w:tc>
          <w:tcPr>
            <w:tcW w:type="dxa" w:w="1872"/>
          </w:tcPr>
          <w:p>
            <w:r>
              <w:t>Workshop Tata Kelola Data</w:t>
            </w:r>
          </w:p>
        </w:tc>
        <w:tc>
          <w:tcPr>
            <w:tcW w:type="dxa" w:w="1872"/>
          </w:tcPr>
          <w:p>
            <w:r>
              <w:t>2.75</w:t>
            </w:r>
          </w:p>
        </w:tc>
        <w:tc>
          <w:tcPr>
            <w:tcW w:type="dxa" w:w="1872"/>
          </w:tcPr>
          <w:p>
            <w:r>
              <w:t>50.0%</w:t>
            </w:r>
          </w:p>
        </w:tc>
        <w:tc>
          <w:tcPr>
            <w:tcW w:type="dxa" w:w="1872"/>
          </w:tcPr>
          <w:p>
            <w:r>
              <w:t>4</w:t>
            </w:r>
          </w:p>
        </w:tc>
        <w:tc>
          <w:tcPr>
            <w:tcW w:type="dxa" w:w="1872"/>
          </w:tcPr>
          <w:p>
            <w:r>
              <w:t>52.5</w:t>
            </w:r>
          </w:p>
        </w:tc>
      </w:tr>
    </w:tbl>
    <w:p>
      <w:pPr>
        <w:pStyle w:val="ListBullet"/>
        <w:jc w:val="left"/>
      </w:pPr>
      <w:r>
        <w:rPr>
          <w:b w:val="0"/>
          <w:i w:val="0"/>
        </w:rPr>
        <w:t>Pelatihan Cloud Native (AWS): rata-rata rating 1.5, proporsi negatif 100.0%, volume 2.</w:t>
      </w:r>
    </w:p>
    <w:p>
      <w:pPr>
        <w:pStyle w:val="ListBullet"/>
        <w:jc w:val="left"/>
      </w:pPr>
      <w:r>
        <w:rPr>
          <w:b w:val="0"/>
          <w:i w:val="0"/>
        </w:rPr>
        <w:t>Sertifikasi Cisco (CCNA): rata-rata rating 1.5, proporsi negatif 100.0%, volume 2.</w:t>
      </w:r>
    </w:p>
    <w:p>
      <w:pPr>
        <w:pStyle w:val="ListBullet"/>
        <w:jc w:val="left"/>
      </w:pPr>
      <w:r>
        <w:rPr>
          <w:b w:val="0"/>
          <w:i w:val="0"/>
        </w:rPr>
        <w:t>Enablement Partner Teknologi: rata-rata rating 2.0, proporsi negatif 50.0%, volume 2.</w:t>
      </w:r>
    </w:p>
    <w:p>
      <w:pPr>
        <w:pStyle w:val="ListBullet"/>
        <w:jc w:val="left"/>
      </w:pPr>
      <w:r>
        <w:rPr>
          <w:b w:val="0"/>
          <w:i w:val="0"/>
        </w:rPr>
        <w:t>Bootcamp Data untuk Dosen: rata-rata rating 2.5, proporsi negatif 50.0%, volume 4.</w:t>
      </w:r>
    </w:p>
    <w:p>
      <w:pPr>
        <w:pStyle w:val="ListBullet"/>
        <w:jc w:val="left"/>
      </w:pPr>
      <w:r>
        <w:rPr>
          <w:b w:val="0"/>
          <w:i w:val="0"/>
        </w:rPr>
        <w:t>Workshop Tata Kelola Data: rata-rata rating 2.75, proporsi negatif 50.0%, volume 4.</w:t>
      </w:r>
    </w:p>
    <w:p>
      <w:pPr>
        <w:pStyle w:val="Heading3"/>
      </w:pPr>
      <w:r>
        <w:t>Konteks lokasi pelatihan dan tipe instruktur</w:t>
      </w:r>
    </w:p>
    <w:p>
      <w:pPr>
        <w:jc w:val="both"/>
      </w:pPr>
      <w:r>
        <w:rPr>
          <w:b w:val="0"/>
          <w:i w:val="0"/>
        </w:rPr>
        <w:t>Dari sisi lokasi dan model instruktur, area yang perlu dicermati lebih dekat adalah Surabaya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Surabaya</w:t>
            </w:r>
          </w:p>
        </w:tc>
        <w:tc>
          <w:tcPr>
            <w:tcW w:type="dxa" w:w="1872"/>
          </w:tcPr>
          <w:p>
            <w:r>
              <w:t>2.33</w:t>
            </w:r>
          </w:p>
        </w:tc>
        <w:tc>
          <w:tcPr>
            <w:tcW w:type="dxa" w:w="1872"/>
          </w:tcPr>
          <w:p>
            <w:r>
              <w:t>66.7%</w:t>
            </w:r>
          </w:p>
        </w:tc>
        <w:tc>
          <w:tcPr>
            <w:tcW w:type="dxa" w:w="1872"/>
          </w:tcPr>
          <w:p>
            <w:r>
              <w:t>3</w:t>
            </w:r>
          </w:p>
        </w:tc>
      </w:tr>
      <w:tr>
        <w:tc>
          <w:tcPr>
            <w:tcW w:type="dxa" w:w="1872"/>
          </w:tcPr>
          <w:p>
            <w:r>
              <w:t>Lokasi</w:t>
            </w:r>
          </w:p>
        </w:tc>
        <w:tc>
          <w:tcPr>
            <w:tcW w:type="dxa" w:w="1872"/>
          </w:tcPr>
          <w:p>
            <w:r>
              <w:t>Jakarta</w:t>
            </w:r>
          </w:p>
        </w:tc>
        <w:tc>
          <w:tcPr>
            <w:tcW w:type="dxa" w:w="1872"/>
          </w:tcPr>
          <w:p>
            <w:r>
              <w:t>3.45</w:t>
            </w:r>
          </w:p>
        </w:tc>
        <w:tc>
          <w:tcPr>
            <w:tcW w:type="dxa" w:w="1872"/>
          </w:tcPr>
          <w:p>
            <w:r>
              <w:t>27.3%</w:t>
            </w:r>
          </w:p>
        </w:tc>
        <w:tc>
          <w:tcPr>
            <w:tcW w:type="dxa" w:w="1872"/>
          </w:tcPr>
          <w:p>
            <w:r>
              <w:t>11</w:t>
            </w:r>
          </w:p>
        </w:tc>
      </w:tr>
      <w:tr>
        <w:tc>
          <w:tcPr>
            <w:tcW w:type="dxa" w:w="1872"/>
          </w:tcPr>
          <w:p>
            <w:r>
              <w:t>Lokasi</w:t>
            </w:r>
          </w:p>
        </w:tc>
        <w:tc>
          <w:tcPr>
            <w:tcW w:type="dxa" w:w="1872"/>
          </w:tcPr>
          <w:p>
            <w:r>
              <w:t>Yogyakarta</w:t>
            </w:r>
          </w:p>
        </w:tc>
        <w:tc>
          <w:tcPr>
            <w:tcW w:type="dxa" w:w="1872"/>
          </w:tcPr>
          <w:p>
            <w:r>
              <w:t>3.21</w:t>
            </w:r>
          </w:p>
        </w:tc>
        <w:tc>
          <w:tcPr>
            <w:tcW w:type="dxa" w:w="1872"/>
          </w:tcPr>
          <w:p>
            <w:r>
              <w:t>21.4%</w:t>
            </w:r>
          </w:p>
        </w:tc>
        <w:tc>
          <w:tcPr>
            <w:tcW w:type="dxa" w:w="1872"/>
          </w:tcPr>
          <w:p>
            <w:r>
              <w:t>14</w:t>
            </w:r>
          </w:p>
        </w:tc>
      </w:tr>
      <w:tr>
        <w:tc>
          <w:tcPr>
            <w:tcW w:type="dxa" w:w="1872"/>
          </w:tcPr>
          <w:p>
            <w:r>
              <w:t>Tipe Instruktur</w:t>
            </w:r>
          </w:p>
        </w:tc>
        <w:tc>
          <w:tcPr>
            <w:tcW w:type="dxa" w:w="1872"/>
          </w:tcPr>
          <w:p>
            <w:r>
              <w:t>Internal</w:t>
            </w:r>
          </w:p>
        </w:tc>
        <w:tc>
          <w:tcPr>
            <w:tcW w:type="dxa" w:w="1872"/>
          </w:tcPr>
          <w:p>
            <w:r>
              <w:t>2.82</w:t>
            </w:r>
          </w:p>
        </w:tc>
        <w:tc>
          <w:tcPr>
            <w:tcW w:type="dxa" w:w="1872"/>
          </w:tcPr>
          <w:p>
            <w:r>
              <w:t>32.1%</w:t>
            </w:r>
          </w:p>
        </w:tc>
        <w:tc>
          <w:tcPr>
            <w:tcW w:type="dxa" w:w="1872"/>
          </w:tcPr>
          <w:p>
            <w:r>
              <w:t>28</w:t>
            </w:r>
          </w:p>
        </w:tc>
      </w:tr>
      <w:tr>
        <w:tc>
          <w:tcPr>
            <w:tcW w:type="dxa" w:w="1872"/>
          </w:tcPr>
          <w:p>
            <w:r>
              <w:t>Tipe Instruktur</w:t>
            </w:r>
          </w:p>
        </w:tc>
        <w:tc>
          <w:tcPr>
            <w:tcW w:type="dxa" w:w="1872"/>
          </w:tcPr>
          <w:p>
            <w:r>
              <w:t>OL</w:t>
            </w:r>
          </w:p>
        </w:tc>
        <w:tc>
          <w:tcPr>
            <w:tcW w:type="dxa" w:w="1872"/>
          </w:tcPr>
          <w:p>
            <w:r>
              <w:t>4.25</w:t>
            </w:r>
          </w:p>
        </w:tc>
        <w:tc>
          <w:tcPr>
            <w:tcW w:type="dxa" w:w="1872"/>
          </w:tcPr>
          <w:p>
            <w:r>
              <w:t>8.3%</w:t>
            </w:r>
          </w:p>
        </w:tc>
        <w:tc>
          <w:tcPr>
            <w:tcW w:type="dxa" w:w="1872"/>
          </w:tcPr>
          <w:p>
            <w:r>
              <w:t>12</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Learning Score diproyeksikan turun dari 64.7 menjadi sekitar 63.7 dalam semester berikutnya, atau sekitar April 2026 sampai Mei 2026, apabila pola saat ini berlanjut. Layanan yang paling layak diprioritaskan untuk pengawasan adalah Pelatihan Cloud Native (AWS). Segmen yang paling perlu dipantau adalah Vendor / Partner.</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Learning Score</w:t>
            </w:r>
          </w:p>
        </w:tc>
        <w:tc>
          <w:tcPr>
            <w:tcW w:type="dxa" w:w="1560"/>
          </w:tcPr>
          <w:p>
            <w:r>
              <w:t>64.7</w:t>
            </w:r>
          </w:p>
        </w:tc>
        <w:tc>
          <w:tcPr>
            <w:tcW w:type="dxa" w:w="1560"/>
          </w:tcPr>
          <w:p>
            <w:r>
              <w:t>Turun</w:t>
            </w:r>
          </w:p>
        </w:tc>
        <w:tc>
          <w:tcPr>
            <w:tcW w:type="dxa" w:w="1560"/>
          </w:tcPr>
          <w:p>
            <w:r>
              <w:t>63.7</w:t>
            </w:r>
          </w:p>
        </w:tc>
        <w:tc>
          <w:tcPr>
            <w:tcW w:type="dxa" w:w="1560"/>
          </w:tcPr>
          <w:p>
            <w:r>
              <w:t>semester berikutnya</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Cloud Native (AWS)</w:t>
            </w:r>
          </w:p>
        </w:tc>
        <w:tc>
          <w:tcPr>
            <w:tcW w:type="dxa" w:w="1872"/>
          </w:tcPr>
          <w:p>
            <w:r>
              <w:t>Tinggi</w:t>
            </w:r>
          </w:p>
        </w:tc>
        <w:tc>
          <w:tcPr>
            <w:tcW w:type="dxa" w:w="1872"/>
          </w:tcPr>
          <w:p>
            <w:r>
              <w:t>1.5</w:t>
            </w:r>
          </w:p>
        </w:tc>
        <w:tc>
          <w:tcPr>
            <w:tcW w:type="dxa" w:w="1872"/>
          </w:tcPr>
          <w:p>
            <w:r>
              <w:t>100.0%</w:t>
            </w:r>
          </w:p>
        </w:tc>
        <w:tc>
          <w:tcPr>
            <w:tcW w:type="dxa" w:w="1872"/>
          </w:tcPr>
          <w:p>
            <w:r>
              <w:t>2</w:t>
            </w:r>
          </w:p>
        </w:tc>
      </w:tr>
      <w:tr>
        <w:tc>
          <w:tcPr>
            <w:tcW w:type="dxa" w:w="1872"/>
          </w:tcPr>
          <w:p>
            <w:r>
              <w:t>Sertifikasi Cisco (CCNA)</w:t>
            </w:r>
          </w:p>
        </w:tc>
        <w:tc>
          <w:tcPr>
            <w:tcW w:type="dxa" w:w="1872"/>
          </w:tcPr>
          <w:p>
            <w:r>
              <w:t>Tinggi</w:t>
            </w:r>
          </w:p>
        </w:tc>
        <w:tc>
          <w:tcPr>
            <w:tcW w:type="dxa" w:w="1872"/>
          </w:tcPr>
          <w:p>
            <w:r>
              <w:t>1.5</w:t>
            </w:r>
          </w:p>
        </w:tc>
        <w:tc>
          <w:tcPr>
            <w:tcW w:type="dxa" w:w="1872"/>
          </w:tcPr>
          <w:p>
            <w:r>
              <w:t>100.0%</w:t>
            </w:r>
          </w:p>
        </w:tc>
        <w:tc>
          <w:tcPr>
            <w:tcW w:type="dxa" w:w="1872"/>
          </w:tcPr>
          <w:p>
            <w:r>
              <w:t>2</w:t>
            </w:r>
          </w:p>
        </w:tc>
      </w:tr>
      <w:tr>
        <w:tc>
          <w:tcPr>
            <w:tcW w:type="dxa" w:w="1872"/>
          </w:tcPr>
          <w:p>
            <w:r>
              <w:t>Enablement Partner Teknologi</w:t>
            </w:r>
          </w:p>
        </w:tc>
        <w:tc>
          <w:tcPr>
            <w:tcW w:type="dxa" w:w="1872"/>
          </w:tcPr>
          <w:p>
            <w:r>
              <w:t>Tinggi</w:t>
            </w:r>
          </w:p>
        </w:tc>
        <w:tc>
          <w:tcPr>
            <w:tcW w:type="dxa" w:w="1872"/>
          </w:tcPr>
          <w:p>
            <w:r>
              <w:t>2.0</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2.5</w:t>
            </w:r>
          </w:p>
        </w:tc>
        <w:tc>
          <w:tcPr>
            <w:tcW w:type="dxa" w:w="1872"/>
          </w:tcPr>
          <w:p>
            <w:r>
              <w:t>50.0%</w:t>
            </w:r>
          </w:p>
        </w:tc>
        <w:tc>
          <w:tcPr>
            <w:tcW w:type="dxa" w:w="1872"/>
          </w:tcPr>
          <w:p>
            <w:r>
              <w:t>4</w:t>
            </w:r>
          </w:p>
        </w:tc>
      </w:tr>
      <w:tr>
        <w:tc>
          <w:tcPr>
            <w:tcW w:type="dxa" w:w="1872"/>
          </w:tcPr>
          <w:p>
            <w:r>
              <w:t>Workshop Tata Kelola Data</w:t>
            </w:r>
          </w:p>
        </w:tc>
        <w:tc>
          <w:tcPr>
            <w:tcW w:type="dxa" w:w="1872"/>
          </w:tcPr>
          <w:p>
            <w:r>
              <w:t>Menengah</w:t>
            </w:r>
          </w:p>
        </w:tc>
        <w:tc>
          <w:tcPr>
            <w:tcW w:type="dxa" w:w="1872"/>
          </w:tcPr>
          <w:p>
            <w:r>
              <w:t>2.75</w:t>
            </w:r>
          </w:p>
        </w:tc>
        <w:tc>
          <w:tcPr>
            <w:tcW w:type="dxa" w:w="1872"/>
          </w:tcPr>
          <w:p>
            <w:r>
              <w:t>50.0%</w:t>
            </w:r>
          </w:p>
        </w:tc>
        <w:tc>
          <w:tcPr>
            <w:tcW w:type="dxa" w:w="1872"/>
          </w:tcPr>
          <w:p>
            <w:r>
              <w:t>4</w:t>
            </w:r>
          </w:p>
        </w:tc>
      </w:tr>
    </w:tbl>
    <w:p>
      <w:pPr>
        <w:pStyle w:val="ListBullet"/>
        <w:jc w:val="left"/>
      </w:pPr>
      <w:r>
        <w:rPr>
          <w:b w:val="0"/>
          <w:i w:val="0"/>
        </w:rPr>
        <w:t>Pelatihan Cloud Native (AWS) diperkirakan tetap menjadi area tinggi karena proporsi sinyal negatif 100.0% dengan rata-rata rating 1.5. Jika tidak ada intervensi, skor pengalaman untuk layanan ini cenderung berada di bawah rata-rata periode berjalan.</w:t>
      </w:r>
    </w:p>
    <w:p>
      <w:pPr>
        <w:pStyle w:val="ListBullet"/>
        <w:jc w:val="left"/>
      </w:pPr>
      <w:r>
        <w:rPr>
          <w:b w:val="0"/>
          <w:i w:val="0"/>
        </w:rPr>
        <w:t>Sertifikasi Cisco (CCNA) diperkirakan tetap menjadi area tinggi karena proporsi sinyal negatif 100.0% dengan rata-rata rating 1.5. Jika tidak ada intervensi, skor pengalaman untuk layanan ini cenderung berada di bawah rata-rata periode berjalan.</w:t>
      </w:r>
    </w:p>
    <w:p>
      <w:pPr>
        <w:pStyle w:val="ListBullet"/>
        <w:jc w:val="left"/>
      </w:pPr>
      <w:r>
        <w:rPr>
          <w:b w:val="0"/>
          <w:i w:val="0"/>
        </w:rPr>
        <w:t>Enablement Partner Teknologi diperkirakan tetap menjadi area tinggi karena proporsi sinyal negatif 50.0% dengan rata-rata rating 2.0.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2.75.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Vendor / Partner</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Sekolah / Universitas</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30.0%</w:t>
            </w:r>
          </w:p>
        </w:tc>
        <w:tc>
          <w:tcPr>
            <w:tcW w:type="dxa" w:w="1872"/>
          </w:tcPr>
          <w:p>
            <w:r>
              <w:t>30.0%</w:t>
            </w:r>
          </w:p>
        </w:tc>
        <w:tc>
          <w:tcPr>
            <w:tcW w:type="dxa" w:w="1872"/>
          </w:tcPr>
          <w:p>
            <w:r>
              <w:t>Jadwal dan beban sesi</w:t>
            </w:r>
          </w:p>
        </w:tc>
      </w:tr>
      <w:tr>
        <w:tc>
          <w:tcPr>
            <w:tcW w:type="dxa" w:w="1872"/>
          </w:tcPr>
          <w:p>
            <w:r>
              <w:t>Pelaksanaan Layanan</w:t>
            </w:r>
          </w:p>
        </w:tc>
        <w:tc>
          <w:tcPr>
            <w:tcW w:type="dxa" w:w="1872"/>
          </w:tcPr>
          <w:p>
            <w:r>
              <w:t>3.2</w:t>
            </w:r>
          </w:p>
        </w:tc>
        <w:tc>
          <w:tcPr>
            <w:tcW w:type="dxa" w:w="1872"/>
          </w:tcPr>
          <w:p>
            <w:r>
              <w:t>30.0%</w:t>
            </w:r>
          </w:p>
        </w:tc>
        <w:tc>
          <w:tcPr>
            <w:tcW w:type="dxa" w:w="1872"/>
          </w:tcPr>
          <w:p>
            <w:r>
              <w:t>50.0%</w:t>
            </w:r>
          </w:p>
        </w:tc>
        <w:tc>
          <w:tcPr>
            <w:tcW w:type="dxa" w:w="1872"/>
          </w:tcPr>
          <w:p>
            <w:r>
              <w:t>Kualitas instruktur atau konsultan</w:t>
            </w:r>
          </w:p>
        </w:tc>
      </w:tr>
      <w:tr>
        <w:tc>
          <w:tcPr>
            <w:tcW w:type="dxa" w:w="1872"/>
          </w:tcPr>
          <w:p>
            <w:r>
              <w:t>Pra-Layanan dan Ekspektasi</w:t>
            </w:r>
          </w:p>
        </w:tc>
        <w:tc>
          <w:tcPr>
            <w:tcW w:type="dxa" w:w="1872"/>
          </w:tcPr>
          <w:p>
            <w:r>
              <w:t>3.4</w:t>
            </w:r>
          </w:p>
        </w:tc>
        <w:tc>
          <w:tcPr>
            <w:tcW w:type="dxa" w:w="1872"/>
          </w:tcPr>
          <w:p>
            <w:r>
              <w:t>20.0%</w:t>
            </w:r>
          </w:p>
        </w:tc>
        <w:tc>
          <w:tcPr>
            <w:tcW w:type="dxa" w:w="1872"/>
          </w:tcPr>
          <w:p>
            <w:r>
              <w:t>50.0%</w:t>
            </w:r>
          </w:p>
        </w:tc>
        <w:tc>
          <w:tcPr>
            <w:tcW w:type="dxa" w:w="1872"/>
          </w:tcPr>
          <w:p>
            <w:r>
              <w:t>Komunikasi dan koordinasi</w:t>
            </w:r>
          </w:p>
        </w:tc>
      </w:tr>
      <w:tr>
        <w:tc>
          <w:tcPr>
            <w:tcW w:type="dxa" w:w="1872"/>
          </w:tcPr>
          <w:p>
            <w:r>
              <w:t>Tindak Lanjut dan Outcome</w:t>
            </w:r>
          </w:p>
        </w:tc>
        <w:tc>
          <w:tcPr>
            <w:tcW w:type="dxa" w:w="1872"/>
          </w:tcPr>
          <w:p>
            <w:r>
              <w:t>3.4</w:t>
            </w:r>
          </w:p>
        </w:tc>
        <w:tc>
          <w:tcPr>
            <w:tcW w:type="dxa" w:w="1872"/>
          </w:tcPr>
          <w:p>
            <w:r>
              <w:t>20.0%</w:t>
            </w:r>
          </w:p>
        </w:tc>
        <w:tc>
          <w:tcPr>
            <w:tcW w:type="dxa" w:w="1872"/>
          </w:tcPr>
          <w:p>
            <w:r>
              <w:t>70.0%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30.0%.</w:t>
      </w:r>
    </w:p>
    <w:p>
      <w:pPr>
        <w:pStyle w:val="ListBullet"/>
        <w:jc w:val="left"/>
      </w:pPr>
      <w:r>
        <w:rPr>
          <w:b w:val="0"/>
          <w:i w:val="0"/>
        </w:rPr>
        <w:t>Tahap Pelaksanaan Layanan diperkirakan tetap menjadi titik gesekan utama karena porsi sentimen negatif masih 30.0%.</w:t>
      </w:r>
    </w:p>
    <w:p>
      <w:pPr>
        <w:pStyle w:val="ListBullet"/>
        <w:jc w:val="left"/>
      </w:pPr>
      <w:r>
        <w:rPr>
          <w:b w:val="0"/>
          <w:i w:val="0"/>
        </w:rPr>
        <w:t>Tahap Pra-Layanan dan Ekspektasi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Surabaya</w:t>
            </w:r>
          </w:p>
        </w:tc>
        <w:tc>
          <w:tcPr>
            <w:tcW w:type="dxa" w:w="1872"/>
          </w:tcPr>
          <w:p>
            <w:r>
              <w:t>Tinggi</w:t>
            </w:r>
          </w:p>
        </w:tc>
        <w:tc>
          <w:tcPr>
            <w:tcW w:type="dxa" w:w="1872"/>
          </w:tcPr>
          <w:p>
            <w:r>
              <w:t>2.33</w:t>
            </w:r>
          </w:p>
        </w:tc>
        <w:tc>
          <w:tcPr>
            <w:tcW w:type="dxa" w:w="1872"/>
          </w:tcPr>
          <w:p>
            <w:r>
              <w:t>66.7%</w:t>
            </w:r>
          </w:p>
        </w:tc>
      </w:tr>
      <w:tr>
        <w:tc>
          <w:tcPr>
            <w:tcW w:type="dxa" w:w="1872"/>
          </w:tcPr>
          <w:p>
            <w:r>
              <w:t>Lokasi</w:t>
            </w:r>
          </w:p>
        </w:tc>
        <w:tc>
          <w:tcPr>
            <w:tcW w:type="dxa" w:w="1872"/>
          </w:tcPr>
          <w:p>
            <w:r>
              <w:t>Jakarta</w:t>
            </w:r>
          </w:p>
        </w:tc>
        <w:tc>
          <w:tcPr>
            <w:tcW w:type="dxa" w:w="1872"/>
          </w:tcPr>
          <w:p>
            <w:r>
              <w:t>Terkendali</w:t>
            </w:r>
          </w:p>
        </w:tc>
        <w:tc>
          <w:tcPr>
            <w:tcW w:type="dxa" w:w="1872"/>
          </w:tcPr>
          <w:p>
            <w:r>
              <w:t>3.45</w:t>
            </w:r>
          </w:p>
        </w:tc>
        <w:tc>
          <w:tcPr>
            <w:tcW w:type="dxa" w:w="1872"/>
          </w:tcPr>
          <w:p>
            <w:r>
              <w:t>27.3%</w:t>
            </w:r>
          </w:p>
        </w:tc>
      </w:tr>
      <w:tr>
        <w:tc>
          <w:tcPr>
            <w:tcW w:type="dxa" w:w="1872"/>
          </w:tcPr>
          <w:p>
            <w:r>
              <w:t>Lokasi</w:t>
            </w:r>
          </w:p>
        </w:tc>
        <w:tc>
          <w:tcPr>
            <w:tcW w:type="dxa" w:w="1872"/>
          </w:tcPr>
          <w:p>
            <w:r>
              <w:t>Yogyakarta</w:t>
            </w:r>
          </w:p>
        </w:tc>
        <w:tc>
          <w:tcPr>
            <w:tcW w:type="dxa" w:w="1872"/>
          </w:tcPr>
          <w:p>
            <w:r>
              <w:t>Terkendali</w:t>
            </w:r>
          </w:p>
        </w:tc>
        <w:tc>
          <w:tcPr>
            <w:tcW w:type="dxa" w:w="1872"/>
          </w:tcPr>
          <w:p>
            <w:r>
              <w:t>3.21</w:t>
            </w:r>
          </w:p>
        </w:tc>
        <w:tc>
          <w:tcPr>
            <w:tcW w:type="dxa" w:w="1872"/>
          </w:tcPr>
          <w:p>
            <w:r>
              <w:t>21.4%</w:t>
            </w:r>
          </w:p>
        </w:tc>
      </w:tr>
      <w:tr>
        <w:tc>
          <w:tcPr>
            <w:tcW w:type="dxa" w:w="1872"/>
          </w:tcPr>
          <w:p>
            <w:r>
              <w:t>Tipe Instruktur</w:t>
            </w:r>
          </w:p>
        </w:tc>
        <w:tc>
          <w:tcPr>
            <w:tcW w:type="dxa" w:w="1872"/>
          </w:tcPr>
          <w:p>
            <w:r>
              <w:t>Internal</w:t>
            </w:r>
          </w:p>
        </w:tc>
        <w:tc>
          <w:tcPr>
            <w:tcW w:type="dxa" w:w="1872"/>
          </w:tcPr>
          <w:p>
            <w:r>
              <w:t>Menengah</w:t>
            </w:r>
          </w:p>
        </w:tc>
        <w:tc>
          <w:tcPr>
            <w:tcW w:type="dxa" w:w="1872"/>
          </w:tcPr>
          <w:p>
            <w:r>
              <w:t>2.82</w:t>
            </w:r>
          </w:p>
        </w:tc>
        <w:tc>
          <w:tcPr>
            <w:tcW w:type="dxa" w:w="1872"/>
          </w:tcPr>
          <w:p>
            <w:r>
              <w:t>32.1%</w:t>
            </w:r>
          </w:p>
        </w:tc>
      </w:tr>
      <w:tr>
        <w:tc>
          <w:tcPr>
            <w:tcW w:type="dxa" w:w="1872"/>
          </w:tcPr>
          <w:p>
            <w:r>
              <w:t>Tipe Instruktur</w:t>
            </w:r>
          </w:p>
        </w:tc>
        <w:tc>
          <w:tcPr>
            <w:tcW w:type="dxa" w:w="1872"/>
          </w:tcPr>
          <w:p>
            <w:r>
              <w:t>OL</w:t>
            </w:r>
          </w:p>
        </w:tc>
        <w:tc>
          <w:tcPr>
            <w:tcW w:type="dxa" w:w="1872"/>
          </w:tcPr>
          <w:p>
            <w:r>
              <w:t>Terkendali</w:t>
            </w:r>
          </w:p>
        </w:tc>
        <w:tc>
          <w:tcPr>
            <w:tcW w:type="dxa" w:w="1872"/>
          </w:tcPr>
          <w:p>
            <w:r>
              <w:t>4.25</w:t>
            </w:r>
          </w:p>
        </w:tc>
        <w:tc>
          <w:tcPr>
            <w:tcW w:type="dxa" w:w="1872"/>
          </w:tcPr>
          <w:p>
            <w:r>
              <w:t>8.3%</w:t>
            </w:r>
          </w:p>
        </w:tc>
      </w:tr>
    </w:tbl>
    <w:p>
      <w:pPr>
        <w:pStyle w:val="ListBullet"/>
        <w:jc w:val="left"/>
      </w:pPr>
      <w:r>
        <w:rPr>
          <w:b w:val="0"/>
          <w:i w:val="0"/>
        </w:rPr>
        <w:t>Lokasi Surabaya perlu dipantau karena proporsi sinyal negatifnya 66.7% dengan rating rata-rata 2.33.</w:t>
      </w:r>
    </w:p>
    <w:p>
      <w:pPr>
        <w:pStyle w:val="ListBullet"/>
        <w:jc w:val="left"/>
      </w:pPr>
      <w:r>
        <w:rPr>
          <w:b w:val="0"/>
          <w:i w:val="0"/>
        </w:rPr>
        <w:t>Lokasi Jakarta perlu dipantau karena proporsi sinyal negatifnya 27.3% dengan rating rata-rata 3.45.</w:t>
      </w:r>
    </w:p>
    <w:p>
      <w:pPr>
        <w:pStyle w:val="ListBullet"/>
        <w:jc w:val="left"/>
      </w:pPr>
      <w:r>
        <w:rPr>
          <w:b w:val="0"/>
          <w:i w:val="0"/>
        </w:rPr>
        <w:t>Lokasi Yogyakarta perlu dipantau karena proporsi sinyal negatifnya 21.4% dengan rating rata-rata 3.21.</w:t>
      </w:r>
    </w:p>
    <w:p>
      <w:pPr>
        <w:pStyle w:val="ListBullet"/>
        <w:jc w:val="left"/>
      </w:pPr>
      <w:r>
        <w:rPr>
          <w:b w:val="0"/>
          <w:i w:val="0"/>
        </w:rPr>
        <w:t>Komposisi instruktur Internal juga perlu dibaca karena saat ini mencatat proporsi sinyal negatif 32.1%.</w:t>
      </w:r>
    </w:p>
    <w:p>
      <w:pPr>
        <w:pStyle w:val="ListBullet"/>
        <w:jc w:val="left"/>
      </w:pPr>
      <w:r>
        <w:rPr>
          <w:b w:val="0"/>
          <w:i w:val="0"/>
        </w:rPr>
        <w:t>Komposisi instruktur OL juga perlu dibaca karena saat ini mencatat proporsi sinyal negatif 8.3%.</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Learning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2</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3</w:t>
            </w:r>
          </w:p>
        </w:tc>
        <w:tc>
          <w:tcPr>
            <w:tcW w:type="dxa" w:w="1872"/>
          </w:tcPr>
          <w:p>
            <w:r>
              <w:t>Materi dan relevansi konten</w:t>
            </w:r>
          </w:p>
        </w:tc>
        <w:tc>
          <w:tcPr>
            <w:tcW w:type="dxa" w:w="1872"/>
          </w:tcPr>
          <w:p>
            <w:r>
              <w:t>Review kurikulum per segmen, tambahkan contoh kontekstual, dan perbarui modul prioritas.</w:t>
            </w:r>
          </w:p>
        </w:tc>
        <w:tc>
          <w:tcPr>
            <w:tcW w:type="dxa" w:w="1872"/>
          </w:tcPr>
          <w:p>
            <w:r>
              <w:t>Academic Lead / Product Owner</w:t>
            </w:r>
          </w:p>
        </w:tc>
        <w:tc>
          <w:tcPr>
            <w:tcW w:type="dxa" w:w="1872"/>
          </w:tcPr>
          <w:p>
            <w:r>
              <w:t>Materi lebih relevan dengan kebutuhan peserta dan konteks klien.</w:t>
            </w:r>
          </w:p>
        </w:tc>
      </w:tr>
      <w:tr>
        <w:tc>
          <w:tcPr>
            <w:tcW w:type="dxa" w:w="1872"/>
          </w:tcPr>
          <w:p>
            <w:r>
              <w:t>4</w:t>
            </w:r>
          </w:p>
        </w:tc>
        <w:tc>
          <w:tcPr>
            <w:tcW w:type="dxa" w:w="1872"/>
          </w:tcPr>
          <w:p>
            <w:r>
              <w:t>Kualitas instruktur atau konsultan</w:t>
            </w:r>
          </w:p>
        </w:tc>
        <w:tc>
          <w:tcPr>
            <w:tcW w:type="dxa" w:w="1872"/>
          </w:tcPr>
          <w:p>
            <w:r>
              <w:t>Perkuat coaching instruktur, review kompetensi domain, dan standardisasi evaluasi fasilitator.</w:t>
            </w:r>
          </w:p>
        </w:tc>
        <w:tc>
          <w:tcPr>
            <w:tcW w:type="dxa" w:w="1872"/>
          </w:tcPr>
          <w:p>
            <w:r>
              <w:t>Academic Lead / Service Quality</w:t>
            </w:r>
          </w:p>
        </w:tc>
        <w:tc>
          <w:tcPr>
            <w:tcW w:type="dxa" w:w="1872"/>
          </w:tcPr>
          <w:p>
            <w:r>
              <w:t>Konsistensi kualitas fasilitator meningkat di berbagai layanan.</w:t>
            </w:r>
          </w:p>
        </w:tc>
      </w:tr>
    </w:tbl>
    <w:p>
      <w:pPr>
        <w:pStyle w:val="ListNumber"/>
        <w:jc w:val="left"/>
      </w:pPr>
      <w:r>
        <w:rPr>
          <w:b w:val="0"/>
          <w:i w:val="0"/>
        </w:rPr>
        <w:t>Dampak hasil layanan: Pertahankan praktik outcome review dan ubah testimoni hasil menjadi playbook layanan.</w:t>
      </w:r>
    </w:p>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Materi dan relevansi konten: Review kurikulum per segmen, tambahkan contoh kontekstual, dan perbarui modul prioritas.</w:t>
      </w:r>
    </w:p>
    <w:p>
      <w:pPr>
        <w:pStyle w:val="ListNumber"/>
        <w:jc w:val="left"/>
      </w:pPr>
      <w:r>
        <w:rPr>
          <w:b w:val="0"/>
          <w:i w:val="0"/>
        </w:rPr>
        <w:t>Kualitas instruktur atau konsultan: Perkuat coaching instruktur, review kompetensi domain, dan standardisasi evaluasi fasilitator.</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6 Bulan Terakhir (Biannual), pertimbangan implementasi perlu dilihat bersama konteks berikut: Sinyal eksternal belum tersedia, sehingga pembacaan kesiapan implementasi terutama bersandar pada data internal. Analisis saat ini dibaca menggunakan Learning Score dengan fokus pada kualitas instruktur, relevansi materi, kenyamanan belajar, dan hasil yang dirasakan peserta.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Cloud Native (AWS) dan memantau pengalaman segmen Vendor / Partner. Dengan rata-rata rating 3.25 dan sinyal negatif 25.0%, laporan ini sudah memiliki dasar yang cukup jelas untuk diterjemahkan ke keputusan bisnis. Fokus use case saat ini dibaca pada periode 6 Bulan Terakhir (Biannual), perspektif Learning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Dampak hasil layanan.</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50.0%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Cloud Native (AWS) dan memantau pengalaman segmen Vendor / Partner. Dengan rata-rata rating 3.25 dan sinyal negatif 25.0%, laporan ini sudah memiliki dasar yang cukup jelas untuk diterjemahkan ke keputusan bisnis. Fokus use case saat ini dibaca pada periode 6 Bulan Terakhir (Biannual), perspektif Learning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Cloud Native (AWS)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Assess learning quality, instructor readiness, and what should be preserved vs improved.</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Dampak hasil layanan.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50.0%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