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Tahun Terakhir (Yearly)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Tahun Terakhir (Yearly) berdasarkan 2 feedback tervalidasi. Analisis saat ini dibaca pada periode 1 Tahun Terakhir (Yearly), perspektif Facility Score, filter sentimen negatif, segmen Sekolah / Universitas dengan fokus pada fasilitas kelas, jaringan, ruang, sarana pendukung, dan kesiapan operasional sebelum delivery. Secara umum, rata-rata rating berada pada level 1.5 dari 5, yang menunjukkan kualitas layanan masih lemah dan memerlukan perhatian manajemen segera. Proporsi sentimen negatif tercatat sebesar 100.0% (2 feedback), sehingga kondisi ini cukup tinggi dan berpotensi mengganggu persepsi layanan jika tidak segera ditangani.</w:t>
      </w:r>
    </w:p>
    <w:p>
      <w:pPr>
        <w:jc w:val="both"/>
      </w:pPr>
      <w:r>
        <w:rPr>
          <w:b w:val="0"/>
          <w:i w:val="0"/>
        </w:rPr>
        <w:t>Untuk kebutuhan rapat internal, perhatian utama sebaiknya diarahkan pada layanan Program Magang / Kunjungan Industri serta pada isu Kualitas instruktur atau konsultan. Facility Score diproyeksikan turun dari 21.6 menjadi sekitar 3.0 dalam periode tahun berikutnya, atau pada tahun 2027, apabila pola saat ini berlanjut. Fokus tambahan yang diminta pengguna: Stress test facility and preparation problems that may affect delivery quality.</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2 record</w:t>
            </w:r>
          </w:p>
        </w:tc>
      </w:tr>
      <w:tr>
        <w:tc>
          <w:tcPr>
            <w:tcW w:type="dxa" w:w="4680"/>
          </w:tcPr>
          <w:p>
            <w:r>
              <w:t>Cakupan analisis</w:t>
            </w:r>
          </w:p>
        </w:tc>
        <w:tc>
          <w:tcPr>
            <w:tcW w:type="dxa" w:w="4680"/>
          </w:tcPr>
          <w:p>
            <w:r>
              <w:t>periode 1 Tahun Terakhir (Yearly), perspektif Facility Score, filter sentimen negatif, segmen Sekolah / Universitas</w:t>
            </w:r>
          </w:p>
        </w:tc>
      </w:tr>
      <w:tr>
        <w:tc>
          <w:tcPr>
            <w:tcW w:type="dxa" w:w="4680"/>
          </w:tcPr>
          <w:p>
            <w:r>
              <w:t>Facility Score</w:t>
            </w:r>
          </w:p>
        </w:tc>
        <w:tc>
          <w:tcPr>
            <w:tcW w:type="dxa" w:w="4680"/>
          </w:tcPr>
          <w:p>
            <w:r>
              <w:t>21.6 / 100</w:t>
            </w:r>
          </w:p>
        </w:tc>
      </w:tr>
      <w:tr>
        <w:tc>
          <w:tcPr>
            <w:tcW w:type="dxa" w:w="4680"/>
          </w:tcPr>
          <w:p>
            <w:r>
              <w:t>Rata-rata rating</w:t>
            </w:r>
          </w:p>
        </w:tc>
        <w:tc>
          <w:tcPr>
            <w:tcW w:type="dxa" w:w="4680"/>
          </w:tcPr>
          <w:p>
            <w:r>
              <w:t>1.5 dari 5</w:t>
            </w:r>
          </w:p>
        </w:tc>
      </w:tr>
      <w:tr>
        <w:tc>
          <w:tcPr>
            <w:tcW w:type="dxa" w:w="4680"/>
          </w:tcPr>
          <w:p>
            <w:r>
              <w:t>Proporsi sentimen negatif</w:t>
            </w:r>
          </w:p>
        </w:tc>
        <w:tc>
          <w:tcPr>
            <w:tcW w:type="dxa" w:w="4680"/>
          </w:tcPr>
          <w:p>
            <w:r>
              <w:t>100.0%</w:t>
            </w:r>
          </w:p>
        </w:tc>
      </w:tr>
      <w:tr>
        <w:tc>
          <w:tcPr>
            <w:tcW w:type="dxa" w:w="4680"/>
          </w:tcPr>
          <w:p>
            <w:r>
              <w:t>Layanan dengan volume terbesar</w:t>
            </w:r>
          </w:p>
        </w:tc>
        <w:tc>
          <w:tcPr>
            <w:tcW w:type="dxa" w:w="4680"/>
          </w:tcPr>
          <w:p>
            <w:r>
              <w:t>Program Magang / Kunjungan Industri</w:t>
            </w:r>
          </w:p>
        </w:tc>
      </w:tr>
      <w:tr>
        <w:tc>
          <w:tcPr>
            <w:tcW w:type="dxa" w:w="4680"/>
          </w:tcPr>
          <w:p>
            <w:r>
              <w:t>Segmen dengan volume terbesar</w:t>
            </w:r>
          </w:p>
        </w:tc>
        <w:tc>
          <w:tcPr>
            <w:tcW w:type="dxa" w:w="4680"/>
          </w:tcPr>
          <w:p>
            <w:r>
              <w:t>Sekolah / Universitas</w:t>
            </w:r>
          </w:p>
        </w:tc>
      </w:tr>
      <w:tr>
        <w:tc>
          <w:tcPr>
            <w:tcW w:type="dxa" w:w="4680"/>
          </w:tcPr>
          <w:p>
            <w:r>
              <w:t>Lokasi pelatihan dominan</w:t>
            </w:r>
          </w:p>
        </w:tc>
        <w:tc>
          <w:tcPr>
            <w:tcW w:type="dxa" w:w="4680"/>
          </w:tcPr>
          <w:p>
            <w:r>
              <w:t>Yogyakarta</w:t>
            </w:r>
          </w:p>
        </w:tc>
      </w:tr>
      <w:tr>
        <w:tc>
          <w:tcPr>
            <w:tcW w:type="dxa" w:w="4680"/>
          </w:tcPr>
          <w:p>
            <w:r>
              <w:t>Tipe instruktur dominan</w:t>
            </w:r>
          </w:p>
        </w:tc>
        <w:tc>
          <w:tcPr>
            <w:tcW w:type="dxa" w:w="4680"/>
          </w:tcPr>
          <w:p>
            <w:r>
              <w:t>OL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Program Magang / Kunjungan Industri memerlukan intervensi prioritas lintas fungsi pada 30 hari ke depan?</w:t>
      </w:r>
    </w:p>
    <w:p>
      <w:pPr>
        <w:pStyle w:val="ListBullet"/>
        <w:jc w:val="left"/>
      </w:pPr>
      <w:r>
        <w:rPr>
          <w:b w:val="0"/>
          <w:i w:val="0"/>
        </w:rPr>
        <w:t>Bagaimana tindak lanjut yang paling tepat untuk tema Kualitas instruktur atau konsultan agar tidak berkembang menjadi keluhan berulang?</w:t>
      </w:r>
    </w:p>
    <w:p>
      <w:pPr>
        <w:pStyle w:val="ListBullet"/>
        <w:jc w:val="left"/>
      </w:pPr>
      <w:r>
        <w:rPr>
          <w:b w:val="0"/>
          <w:i w:val="0"/>
        </w:rPr>
        <w:t>Tahap customer journey mana yang paling perlu dikoreksi lebih dulu, mengingat titik gesekan terbesar saat ini berada pada Pelaksanaan Layanan?</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2 record.</w:t>
      </w:r>
    </w:p>
    <w:p>
      <w:pPr>
        <w:pStyle w:val="ListBullet"/>
        <w:jc w:val="left"/>
      </w:pPr>
      <w:r>
        <w:rPr>
          <w:b w:val="0"/>
          <w:i w:val="0"/>
        </w:rPr>
        <w:t>Rata-rata rating periode ini: 1.5 dari 5.</w:t>
      </w:r>
    </w:p>
    <w:p>
      <w:pPr>
        <w:pStyle w:val="ListBullet"/>
        <w:jc w:val="left"/>
      </w:pPr>
      <w:r>
        <w:rPr>
          <w:b w:val="0"/>
          <w:i w:val="0"/>
        </w:rPr>
        <w:t>Volume layanan terbesar: Program Magang / Kunjungan Industri.</w:t>
      </w:r>
    </w:p>
    <w:p>
      <w:pPr>
        <w:pStyle w:val="ListBullet"/>
        <w:jc w:val="left"/>
      </w:pPr>
      <w:r>
        <w:rPr>
          <w:b w:val="0"/>
          <w:i w:val="0"/>
        </w:rPr>
        <w:t>Segmen dengan volume terbesar: Sekolah / Universitas.</w:t>
      </w:r>
    </w:p>
    <w:p>
      <w:pPr>
        <w:pStyle w:val="ListBullet"/>
        <w:jc w:val="left"/>
      </w:pPr>
      <w:r>
        <w:rPr>
          <w:b w:val="0"/>
          <w:i w:val="0"/>
        </w:rPr>
        <w:t>Lokasi pelatihan dominan: Yogyakarta.</w:t>
      </w:r>
    </w:p>
    <w:p>
      <w:pPr>
        <w:pStyle w:val="ListBullet"/>
        <w:jc w:val="left"/>
      </w:pPr>
      <w:r>
        <w:rPr>
          <w:b w:val="0"/>
          <w:i w:val="0"/>
        </w:rPr>
        <w:t>Tipe instruktur dominan: OL.</w:t>
      </w:r>
    </w:p>
    <w:p>
      <w:pPr>
        <w:pStyle w:val="ListBullet"/>
        <w:jc w:val="left"/>
      </w:pPr>
      <w:r>
        <w:rPr>
          <w:b w:val="0"/>
          <w:i w:val="0"/>
        </w:rPr>
        <w:t>Proporsi sentimen negatif: 100.0%.</w:t>
      </w:r>
    </w:p>
    <w:p>
      <w:pPr>
        <w:pStyle w:val="ListBullet"/>
        <w:jc w:val="left"/>
      </w:pPr>
      <w:r>
        <w:rPr>
          <w:b w:val="0"/>
          <w:i w:val="0"/>
        </w:rPr>
        <w:t>Facility Score saat ini: 21.6 dengan proyeksi turun ke 3.0.</w:t>
      </w:r>
    </w:p>
    <w:p>
      <w:pPr>
        <w:pStyle w:val="ListBullet"/>
        <w:jc w:val="left"/>
      </w:pPr>
      <w:r>
        <w:rPr>
          <w:b w:val="0"/>
          <w:i w:val="0"/>
        </w:rPr>
        <w:t>Tahap customer journey yang paling perlu diperhatikan: Pelaksanaan Layanan.</w:t>
      </w:r>
    </w:p>
    <w:p>
      <w:pPr>
        <w:pStyle w:val="ListBullet"/>
        <w:jc w:val="left"/>
      </w:pPr>
      <w:r>
        <w:rPr>
          <w:b w:val="0"/>
          <w:i w:val="0"/>
        </w:rPr>
        <w:t>Risiko teratas saat ini ada pada layanan Program Magang / Kunjungan Industri dengan proporsi sinyal negatif 100.0%.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25305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253057"/>
                    </a:xfrm>
                    <a:prstGeom prst="rect"/>
                  </pic:spPr>
                </pic:pic>
              </a:graphicData>
            </a:graphic>
          </wp:inline>
        </w:drawing>
      </w:r>
    </w:p>
    <w:p>
      <w:r>
        <w:drawing>
          <wp:inline xmlns:a="http://schemas.openxmlformats.org/drawingml/2006/main" xmlns:pic="http://schemas.openxmlformats.org/drawingml/2006/picture">
            <wp:extent cx="5029200" cy="350306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503060"/>
                    </a:xfrm>
                    <a:prstGeom prst="rect"/>
                  </pic:spPr>
                </pic:pic>
              </a:graphicData>
            </a:graphic>
          </wp:inline>
        </w:drawing>
      </w:r>
    </w:p>
    <w:p>
      <w:r>
        <w:drawing>
          <wp:inline xmlns:a="http://schemas.openxmlformats.org/drawingml/2006/main" xmlns:pic="http://schemas.openxmlformats.org/drawingml/2006/picture">
            <wp:extent cx="4937760" cy="4005632"/>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005632"/>
                    </a:xfrm>
                    <a:prstGeom prst="rect"/>
                  </pic:spPr>
                </pic:pic>
              </a:graphicData>
            </a:graphic>
          </wp:inline>
        </w:drawing>
      </w:r>
    </w:p>
    <w:p>
      <w:r>
        <w:drawing>
          <wp:inline xmlns:a="http://schemas.openxmlformats.org/drawingml/2006/main" xmlns:pic="http://schemas.openxmlformats.org/drawingml/2006/picture">
            <wp:extent cx="4937760" cy="4253057"/>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253057"/>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Tahun Terakhir (Yearly), perspektif Facility Score, filter sentimen negatif, segmen Sekolah / Universitas. Fokus pembacaannya menekankan fasilitas kelas, jaringan, ruang, sarana pendukung, dan kesiapan operasional sebelum delivery. Pada periode 1 Tahun Terakhir (Yearly), sistem memproses 2 feedback tervalidasi dengan rata-rata rating 1.5 dari 5, yang menunjukkan kinerja layanan berada pada kategori masih lemah dan memerlukan perhatian manajemen segera. Komposisi sentimen memperlihatkan 0.0% sinyal positif, 0.0% sinyal netral, dan 100.0% sinyal negatif.</w:t>
      </w:r>
    </w:p>
    <w:p>
      <w:pPr>
        <w:jc w:val="both"/>
      </w:pPr>
      <w:r>
        <w:rPr>
          <w:b w:val="0"/>
          <w:i w:val="0"/>
        </w:rPr>
        <w:t>Dari sisi tata kelola, kelengkapan field inti mencapai 100.0%. Data berasal dari 2 sumber feedback dan 2 kanal yang terpetakan. Pemetaan sumber dan kanal sudah tersedia sehingga jalur asal feedback lebih mudah diaudit. Fokus tambahan dari pengguna pada periode ini adalah: Stress test facility and preparation problems that may affect delivery quality.</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Tahun Terakhir (Yearly)</w:t>
            </w:r>
          </w:p>
        </w:tc>
      </w:tr>
      <w:tr>
        <w:tc>
          <w:tcPr>
            <w:tcW w:type="dxa" w:w="4680"/>
          </w:tcPr>
          <w:p>
            <w:r>
              <w:t>Cakupan analisis</w:t>
            </w:r>
          </w:p>
        </w:tc>
        <w:tc>
          <w:tcPr>
            <w:tcW w:type="dxa" w:w="4680"/>
          </w:tcPr>
          <w:p>
            <w:r>
              <w:t>periode 1 Tahun Terakhir (Yearly), perspektif Facility Score, filter sentimen negatif, segmen Sekolah / Universitas</w:t>
            </w:r>
          </w:p>
        </w:tc>
      </w:tr>
      <w:tr>
        <w:tc>
          <w:tcPr>
            <w:tcW w:type="dxa" w:w="4680"/>
          </w:tcPr>
          <w:p>
            <w:r>
              <w:t>Total feedback tervalidasi</w:t>
            </w:r>
          </w:p>
        </w:tc>
        <w:tc>
          <w:tcPr>
            <w:tcW w:type="dxa" w:w="4680"/>
          </w:tcPr>
          <w:p>
            <w:r>
              <w:t>2 record</w:t>
            </w:r>
          </w:p>
        </w:tc>
      </w:tr>
      <w:tr>
        <w:tc>
          <w:tcPr>
            <w:tcW w:type="dxa" w:w="4680"/>
          </w:tcPr>
          <w:p>
            <w:r>
              <w:t>Rata-rata rating</w:t>
            </w:r>
          </w:p>
        </w:tc>
        <w:tc>
          <w:tcPr>
            <w:tcW w:type="dxa" w:w="4680"/>
          </w:tcPr>
          <w:p>
            <w:r>
              <w:t>1.5 dari 5</w:t>
            </w:r>
          </w:p>
        </w:tc>
      </w:tr>
      <w:tr>
        <w:tc>
          <w:tcPr>
            <w:tcW w:type="dxa" w:w="4680"/>
          </w:tcPr>
          <w:p>
            <w:r>
              <w:t>Facility Score</w:t>
            </w:r>
          </w:p>
        </w:tc>
        <w:tc>
          <w:tcPr>
            <w:tcW w:type="dxa" w:w="4680"/>
          </w:tcPr>
          <w:p>
            <w:r>
              <w:t>21.6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2</w:t>
            </w:r>
          </w:p>
        </w:tc>
      </w:tr>
      <w:tr>
        <w:tc>
          <w:tcPr>
            <w:tcW w:type="dxa" w:w="4680"/>
          </w:tcPr>
          <w:p>
            <w:r>
              <w:t>Jumlah kanal feedback</w:t>
            </w:r>
          </w:p>
        </w:tc>
        <w:tc>
          <w:tcPr>
            <w:tcW w:type="dxa" w:w="4680"/>
          </w:tcPr>
          <w:p>
            <w:r>
              <w:t>2</w:t>
            </w:r>
          </w:p>
        </w:tc>
      </w:tr>
    </w:tbl>
    <w:p>
      <w:pPr>
        <w:pStyle w:val="Heading2"/>
      </w:pPr>
      <w:r>
        <w:t>1.2 Distribusi Sentimen, Rating, dan Volume</w:t>
      </w:r>
    </w:p>
    <w:p>
      <w:pPr>
        <w:jc w:val="both"/>
      </w:pPr>
      <w:r>
        <w:rPr>
          <w:b w:val="0"/>
          <w:i w:val="0"/>
        </w:rPr>
        <w:t>Distribusi sentimen menunjukkan bahwa proporsi sentimen negatif sebesar 100.0% cukup tinggi dan berpotensi mengganggu persepsi layanan jika tidak segera ditangani.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Facility Score</w:t>
            </w:r>
          </w:p>
        </w:tc>
        <w:tc>
          <w:tcPr>
            <w:tcW w:type="dxa" w:w="2340"/>
          </w:tcPr>
          <w:p>
            <w:r>
              <w:t>21.6</w:t>
            </w:r>
          </w:p>
        </w:tc>
        <w:tc>
          <w:tcPr>
            <w:tcW w:type="dxa" w:w="2340"/>
          </w:tcPr>
          <w:p>
            <w:r>
              <w:t>Turun</w:t>
            </w:r>
          </w:p>
        </w:tc>
        <w:tc>
          <w:tcPr>
            <w:tcW w:type="dxa" w:w="2340"/>
          </w:tcPr>
          <w:p>
            <w:r>
              <w:t>Kualitas instruktur atau konsultan</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0</w:t>
            </w:r>
          </w:p>
        </w:tc>
        <w:tc>
          <w:tcPr>
            <w:tcW w:type="dxa" w:w="3120"/>
          </w:tcPr>
          <w:p>
            <w:r>
              <w:t>0.0%</w:t>
            </w:r>
          </w:p>
        </w:tc>
      </w:tr>
      <w:tr>
        <w:tc>
          <w:tcPr>
            <w:tcW w:type="dxa" w:w="3120"/>
          </w:tcPr>
          <w:p>
            <w:r>
              <w:t>Netral</w:t>
            </w:r>
          </w:p>
        </w:tc>
        <w:tc>
          <w:tcPr>
            <w:tcW w:type="dxa" w:w="3120"/>
          </w:tcPr>
          <w:p>
            <w:r>
              <w:t>0</w:t>
            </w:r>
          </w:p>
        </w:tc>
        <w:tc>
          <w:tcPr>
            <w:tcW w:type="dxa" w:w="3120"/>
          </w:tcPr>
          <w:p>
            <w:r>
              <w:t>0.0%</w:t>
            </w:r>
          </w:p>
        </w:tc>
      </w:tr>
      <w:tr>
        <w:tc>
          <w:tcPr>
            <w:tcW w:type="dxa" w:w="3120"/>
          </w:tcPr>
          <w:p>
            <w:r>
              <w:t>Negatif</w:t>
            </w:r>
          </w:p>
        </w:tc>
        <w:tc>
          <w:tcPr>
            <w:tcW w:type="dxa" w:w="3120"/>
          </w:tcPr>
          <w:p>
            <w:r>
              <w:t>2</w:t>
            </w:r>
          </w:p>
        </w:tc>
        <w:tc>
          <w:tcPr>
            <w:tcW w:type="dxa" w:w="3120"/>
          </w:tcPr>
          <w:p>
            <w:r>
              <w:t>100.0%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Sekolah / Universitas (2 feedback). Dari sisi layanan, perhatian pengguna paling banyak tercurah pada Program Magang / Kunjungan Industri (2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Sekolah / Universitas</w:t>
            </w:r>
          </w:p>
        </w:tc>
        <w:tc>
          <w:tcPr>
            <w:tcW w:type="dxa" w:w="3120"/>
          </w:tcPr>
          <w:p>
            <w:r>
              <w:t>2</w:t>
            </w:r>
          </w:p>
        </w:tc>
        <w:tc>
          <w:tcPr>
            <w:tcW w:type="dxa" w:w="3120"/>
          </w:tcPr>
          <w:p>
            <w:r>
              <w:t>100.0%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Program Magang / Kunjungan Industri</w:t>
            </w:r>
          </w:p>
        </w:tc>
        <w:tc>
          <w:tcPr>
            <w:tcW w:type="dxa" w:w="3120"/>
          </w:tcPr>
          <w:p>
            <w:r>
              <w:t>2</w:t>
            </w:r>
          </w:p>
        </w:tc>
        <w:tc>
          <w:tcPr>
            <w:tcW w:type="dxa" w:w="3120"/>
          </w:tcPr>
          <w:p>
            <w:r>
              <w:t>100.0%</w:t>
            </w:r>
          </w:p>
        </w:tc>
      </w:tr>
    </w:tbl>
    <w:p>
      <w:pPr>
        <w:pStyle w:val="Heading3"/>
      </w:pPr>
      <w:r>
        <w:t>Pemetaan sentimen pada customer journey</w:t>
      </w:r>
    </w:p>
    <w:p>
      <w:pPr>
        <w:jc w:val="both"/>
      </w:pPr>
      <w:r>
        <w:rPr>
          <w:b w:val="0"/>
          <w:i w:val="0"/>
        </w:rPr>
        <w:t>Sentimen paling menantang pada filter yang dipilih saat ini muncul pada tahap Pelaksanaan Layanan dengan porsi sinyal negatif 100.0%.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Pelaksanaan Layanan</w:t>
            </w:r>
          </w:p>
        </w:tc>
        <w:tc>
          <w:tcPr>
            <w:tcW w:type="dxa" w:w="1337"/>
          </w:tcPr>
          <w:p>
            <w:r>
              <w:t>1</w:t>
            </w:r>
          </w:p>
        </w:tc>
        <w:tc>
          <w:tcPr>
            <w:tcW w:type="dxa" w:w="1337"/>
          </w:tcPr>
          <w:p>
            <w:r>
              <w:t>2.0</w:t>
            </w:r>
          </w:p>
        </w:tc>
        <w:tc>
          <w:tcPr>
            <w:tcW w:type="dxa" w:w="1337"/>
          </w:tcPr>
          <w:p>
            <w:r>
              <w:t>0.0%</w:t>
            </w:r>
          </w:p>
        </w:tc>
        <w:tc>
          <w:tcPr>
            <w:tcW w:type="dxa" w:w="1337"/>
          </w:tcPr>
          <w:p>
            <w:r>
              <w:t>0.0%</w:t>
            </w:r>
          </w:p>
        </w:tc>
        <w:tc>
          <w:tcPr>
            <w:tcW w:type="dxa" w:w="1337"/>
          </w:tcPr>
          <w:p>
            <w:r>
              <w:t>100.0%</w:t>
            </w:r>
          </w:p>
        </w:tc>
        <w:tc>
          <w:tcPr>
            <w:tcW w:type="dxa" w:w="1337"/>
          </w:tcPr>
          <w:p>
            <w:r>
              <w:t>Kualitas instruktur atau konsultan</w:t>
            </w:r>
          </w:p>
        </w:tc>
      </w:tr>
      <w:tr>
        <w:tc>
          <w:tcPr>
            <w:tcW w:type="dxa" w:w="1337"/>
          </w:tcPr>
          <w:p>
            <w:r>
              <w:t>Tindak Lanjut dan Outcome</w:t>
            </w:r>
          </w:p>
        </w:tc>
        <w:tc>
          <w:tcPr>
            <w:tcW w:type="dxa" w:w="1337"/>
          </w:tcPr>
          <w:p>
            <w:r>
              <w:t>1</w:t>
            </w:r>
          </w:p>
        </w:tc>
        <w:tc>
          <w:tcPr>
            <w:tcW w:type="dxa" w:w="1337"/>
          </w:tcPr>
          <w:p>
            <w:r>
              <w:t>1.0</w:t>
            </w:r>
          </w:p>
        </w:tc>
        <w:tc>
          <w:tcPr>
            <w:tcW w:type="dxa" w:w="1337"/>
          </w:tcPr>
          <w:p>
            <w:r>
              <w:t>0.0%</w:t>
            </w:r>
          </w:p>
        </w:tc>
        <w:tc>
          <w:tcPr>
            <w:tcW w:type="dxa" w:w="1337"/>
          </w:tcPr>
          <w:p>
            <w:r>
              <w:t>0.0%</w:t>
            </w:r>
          </w:p>
        </w:tc>
        <w:tc>
          <w:tcPr>
            <w:tcW w:type="dxa" w:w="1337"/>
          </w:tcPr>
          <w:p>
            <w:r>
              <w:t>100.0%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Yogyakarta (1 feedback), Semarang (1 feedback). Dari sisi tipe instruktur, komposisi saat ini didominasi oleh OL (2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Yogyakarta</w:t>
            </w:r>
          </w:p>
        </w:tc>
        <w:tc>
          <w:tcPr>
            <w:tcW w:type="dxa" w:w="3120"/>
          </w:tcPr>
          <w:p>
            <w:r>
              <w:t>1</w:t>
            </w:r>
          </w:p>
        </w:tc>
        <w:tc>
          <w:tcPr>
            <w:tcW w:type="dxa" w:w="3120"/>
          </w:tcPr>
          <w:p>
            <w:r>
              <w:t>50.0%</w:t>
            </w:r>
          </w:p>
        </w:tc>
      </w:tr>
      <w:tr>
        <w:tc>
          <w:tcPr>
            <w:tcW w:type="dxa" w:w="3120"/>
          </w:tcPr>
          <w:p>
            <w:r>
              <w:t>Semarang</w:t>
            </w:r>
          </w:p>
        </w:tc>
        <w:tc>
          <w:tcPr>
            <w:tcW w:type="dxa" w:w="3120"/>
          </w:tcPr>
          <w:p>
            <w:r>
              <w:t>1</w:t>
            </w:r>
          </w:p>
        </w:tc>
        <w:tc>
          <w:tcPr>
            <w:tcW w:type="dxa" w:w="3120"/>
          </w:tcPr>
          <w:p>
            <w:r>
              <w:t>50.0%</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OL</w:t>
            </w:r>
          </w:p>
        </w:tc>
        <w:tc>
          <w:tcPr>
            <w:tcW w:type="dxa" w:w="3120"/>
          </w:tcPr>
          <w:p>
            <w:r>
              <w:t>2</w:t>
            </w:r>
          </w:p>
        </w:tc>
        <w:tc>
          <w:tcPr>
            <w:tcW w:type="dxa" w:w="3120"/>
          </w:tcPr>
          <w:p>
            <w:r>
              <w:t>100.0%</w:t>
            </w:r>
          </w:p>
        </w:tc>
      </w:tr>
    </w:tbl>
    <w:p>
      <w:pPr>
        <w:pStyle w:val="Heading3"/>
      </w:pPr>
      <w:r>
        <w:t>Cakupan sumber dan kanal</w:t>
      </w:r>
    </w:p>
    <w:p>
      <w:pPr>
        <w:jc w:val="both"/>
      </w:pPr>
      <w:r>
        <w:rPr>
          <w:b w:val="0"/>
          <w:i w:val="0"/>
        </w:rPr>
        <w:t>Dari sisi asal data, sumber yang paling dominan saat ini adalah Post-Class Survey, Outcome Review. Pada saat yang sama, kanal yang tercatat masih didominasi oleh Google Form, Interview. Informasi ini perlu dibaca sebagai indikator awal representativitas data: semakin luas sumber dan kanal, semakin kuat dasar analisis untuk pengambilan keputusan lintas fungsi.</w:t>
      </w:r>
    </w:p>
    <w:p>
      <w:pPr>
        <w:pStyle w:val="ListBullet"/>
        <w:jc w:val="left"/>
      </w:pPr>
      <w:r>
        <w:rPr>
          <w:b w:val="0"/>
          <w:i w:val="0"/>
        </w:rPr>
        <w:t>Sumber utama: Post-Class Survey, Outcome Review</w:t>
      </w:r>
    </w:p>
    <w:p>
      <w:pPr>
        <w:pStyle w:val="ListBullet"/>
        <w:jc w:val="left"/>
      </w:pPr>
      <w:r>
        <w:rPr>
          <w:b w:val="0"/>
          <w:i w:val="0"/>
        </w:rPr>
        <w:t>Kanal utama: Google Form, Interview</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Facility Score, perhatian diagnosis terutama diarahkan ke fasilitas kelas, jaringan, ruang, sarana pendukung, dan kesiapan operasional sebelum delivery. Tema keluhan paling dominan saat ini adalah Kualitas instruktur atau konsultan, yang berulang pada beberapa komentar pelanggan. Kekuatan layanan belum muncul secara cukup konsisten untuk dijadikan diferensiasi yang kuat.</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Kualitas instruktur atau konsultan</w:t>
            </w:r>
          </w:p>
        </w:tc>
        <w:tc>
          <w:tcPr>
            <w:tcW w:type="dxa" w:w="2340"/>
          </w:tcPr>
          <w:p>
            <w:r>
              <w:t>1</w:t>
            </w:r>
          </w:p>
        </w:tc>
        <w:tc>
          <w:tcPr>
            <w:tcW w:type="dxa" w:w="2340"/>
          </w:tcPr>
          <w:p>
            <w:r>
              <w:t>Program Magang / Kunjungan Industri</w:t>
            </w:r>
          </w:p>
        </w:tc>
        <w:tc>
          <w:tcPr>
            <w:tcW w:type="dxa" w:w="2340"/>
          </w:tcPr>
          <w:p>
            <w:r>
              <w:t>Sekolah / Universitas</w:t>
            </w:r>
          </w:p>
        </w:tc>
      </w:tr>
      <w:tr>
        <w:tc>
          <w:tcPr>
            <w:tcW w:type="dxa" w:w="2340"/>
          </w:tcPr>
          <w:p>
            <w:r>
              <w:t>Dampak hasil layanan</w:t>
            </w:r>
          </w:p>
        </w:tc>
        <w:tc>
          <w:tcPr>
            <w:tcW w:type="dxa" w:w="2340"/>
          </w:tcPr>
          <w:p>
            <w:r>
              <w:t>1</w:t>
            </w:r>
          </w:p>
        </w:tc>
        <w:tc>
          <w:tcPr>
            <w:tcW w:type="dxa" w:w="2340"/>
          </w:tcPr>
          <w:p>
            <w:r>
              <w:t>Program Magang / Kunjungan Industri</w:t>
            </w:r>
          </w:p>
        </w:tc>
        <w:tc>
          <w:tcPr>
            <w:tcW w:type="dxa" w:w="2340"/>
          </w:tcPr>
          <w:p>
            <w:r>
              <w:t>Sekolah / Universitas</w:t>
            </w:r>
          </w:p>
        </w:tc>
      </w:tr>
    </w:tbl>
    <w:p>
      <w:pPr>
        <w:pStyle w:val="ListBullet"/>
        <w:jc w:val="left"/>
      </w:pPr>
      <w:r>
        <w:rPr>
          <w:b w:val="0"/>
          <w:i w:val="0"/>
        </w:rPr>
        <w:t>Kualitas instruktur atau konsultan: 1 sinyal negatif. Layanan terdampak: Program Magang / Kunjungan Industri. Segmen terdampak: Sekolah / Universitas.</w:t>
      </w:r>
    </w:p>
    <w:p>
      <w:pPr>
        <w:pStyle w:val="ListBullet"/>
        <w:jc w:val="left"/>
      </w:pPr>
      <w:r>
        <w:rPr>
          <w:b w:val="0"/>
          <w:i w:val="0"/>
        </w:rPr>
        <w:t>Dampak hasil layanan: 1 sinyal negatif. Layanan terdampak: Program Magang / Kunjungan Industri. Segmen terdampak: Sekolah / Universitas.</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p>
      <w:pPr>
        <w:pStyle w:val="ListBullet"/>
        <w:jc w:val="left"/>
      </w:pPr>
      <w:r>
        <w:rPr>
          <w:b w:val="0"/>
          <w:i w:val="0"/>
        </w:rPr>
        <w:t>Belum ada kekuatan yang cukup konsisten untuk dikonfirmasi pada periode ini.</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Pelaksanaan Layanan dengan rating rata-rata 2.0 dan porsi sentimen negatif 100.0%.</w:t>
      </w:r>
    </w:p>
    <w:p>
      <w:pPr>
        <w:pStyle w:val="Heading3"/>
      </w:pPr>
      <w:r>
        <w:t>Kutipan keluhan representatif</w:t>
      </w:r>
    </w:p>
    <w:p>
      <w:pPr>
        <w:pStyle w:val="ListBullet"/>
        <w:jc w:val="left"/>
      </w:pPr>
      <w:r>
        <w:rPr>
          <w:b w:val="0"/>
          <w:i w:val="0"/>
        </w:rPr>
        <w:t>"Instruktur Program Magang / Kunjungan Industri kurang konsisten menjawab pertanyaan lanjutan dan beberapa penjelasan terasa terlalu umum untuk kebutuhan sekolah / universitas." (Sekolah / Universitas | Program Magang / Kunjungan Industri | rating 2)</w:t>
      </w:r>
    </w:p>
    <w:p>
      <w:pPr>
        <w:pStyle w:val="ListBullet"/>
        <w:jc w:val="left"/>
      </w:pPr>
      <w:r>
        <w:rPr>
          <w:b w:val="0"/>
          <w:i w:val="0"/>
        </w:rPr>
        <w:t>"Setelah Program Magang / Kunjungan Industri selesai, manfaat yang dirasakan belum kuat, tindak lanjut kurang jelas, dan output akhirnya belum mudah dipakai oleh tim sekolah / un..." (Sekolah / Universitas | Program Magang / Kunjungan Industri | rating 1)</w:t>
      </w:r>
    </w:p>
    <w:p>
      <w:pPr>
        <w:pStyle w:val="Heading3"/>
      </w:pPr>
      <w:r>
        <w:t>Kutipan apresiasi representatif</w:t>
      </w:r>
    </w:p>
    <w:p>
      <w:pPr>
        <w:pStyle w:val="ListBullet"/>
        <w:jc w:val="left"/>
      </w:pPr>
      <w:r>
        <w:rPr>
          <w:b w:val="0"/>
          <w:i w:val="0"/>
        </w:rPr>
        <w:t>Tidak ada kutipan yang cukup untuk periode ini.</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Program Magang / Kunjungan Industri</w:t>
            </w:r>
          </w:p>
        </w:tc>
        <w:tc>
          <w:tcPr>
            <w:tcW w:type="dxa" w:w="1872"/>
          </w:tcPr>
          <w:p>
            <w:r>
              <w:t>1.5</w:t>
            </w:r>
          </w:p>
        </w:tc>
        <w:tc>
          <w:tcPr>
            <w:tcW w:type="dxa" w:w="1872"/>
          </w:tcPr>
          <w:p>
            <w:r>
              <w:t>100.0%</w:t>
            </w:r>
          </w:p>
        </w:tc>
        <w:tc>
          <w:tcPr>
            <w:tcW w:type="dxa" w:w="1872"/>
          </w:tcPr>
          <w:p>
            <w:r>
              <w:t>2</w:t>
            </w:r>
          </w:p>
        </w:tc>
        <w:tc>
          <w:tcPr>
            <w:tcW w:type="dxa" w:w="1872"/>
          </w:tcPr>
          <w:p>
            <w:r>
              <w:t>93.0</w:t>
            </w:r>
          </w:p>
        </w:tc>
      </w:tr>
    </w:tbl>
    <w:p>
      <w:pPr>
        <w:pStyle w:val="ListBullet"/>
        <w:jc w:val="left"/>
      </w:pPr>
      <w:r>
        <w:rPr>
          <w:b w:val="0"/>
          <w:i w:val="0"/>
        </w:rPr>
        <w:t>Program Magang / Kunjungan Industri: rata-rata rating 1.5, proporsi negatif 100.0%, volume 2.</w:t>
      </w:r>
    </w:p>
    <w:p>
      <w:pPr>
        <w:pStyle w:val="Heading3"/>
      </w:pPr>
      <w:r>
        <w:t>Konteks lokasi pelatihan dan tipe instruktur</w:t>
      </w:r>
    </w:p>
    <w:p>
      <w:pPr>
        <w:jc w:val="both"/>
      </w:pPr>
      <w:r>
        <w:rPr>
          <w:b w:val="0"/>
          <w:i w:val="0"/>
        </w:rPr>
        <w:t>Dari sisi lokasi dan model instruktur, area yang perlu dicermati lebih dekat adalah Semarang serta komposisi instruktur OL.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Semarang</w:t>
            </w:r>
          </w:p>
        </w:tc>
        <w:tc>
          <w:tcPr>
            <w:tcW w:type="dxa" w:w="1872"/>
          </w:tcPr>
          <w:p>
            <w:r>
              <w:t>1.0</w:t>
            </w:r>
          </w:p>
        </w:tc>
        <w:tc>
          <w:tcPr>
            <w:tcW w:type="dxa" w:w="1872"/>
          </w:tcPr>
          <w:p>
            <w:r>
              <w:t>100.0%</w:t>
            </w:r>
          </w:p>
        </w:tc>
        <w:tc>
          <w:tcPr>
            <w:tcW w:type="dxa" w:w="1872"/>
          </w:tcPr>
          <w:p>
            <w:r>
              <w:t>1</w:t>
            </w:r>
          </w:p>
        </w:tc>
      </w:tr>
      <w:tr>
        <w:tc>
          <w:tcPr>
            <w:tcW w:type="dxa" w:w="1872"/>
          </w:tcPr>
          <w:p>
            <w:r>
              <w:t>Lokasi</w:t>
            </w:r>
          </w:p>
        </w:tc>
        <w:tc>
          <w:tcPr>
            <w:tcW w:type="dxa" w:w="1872"/>
          </w:tcPr>
          <w:p>
            <w:r>
              <w:t>Yogyakarta</w:t>
            </w:r>
          </w:p>
        </w:tc>
        <w:tc>
          <w:tcPr>
            <w:tcW w:type="dxa" w:w="1872"/>
          </w:tcPr>
          <w:p>
            <w:r>
              <w:t>2.0</w:t>
            </w:r>
          </w:p>
        </w:tc>
        <w:tc>
          <w:tcPr>
            <w:tcW w:type="dxa" w:w="1872"/>
          </w:tcPr>
          <w:p>
            <w:r>
              <w:t>100.0%</w:t>
            </w:r>
          </w:p>
        </w:tc>
        <w:tc>
          <w:tcPr>
            <w:tcW w:type="dxa" w:w="1872"/>
          </w:tcPr>
          <w:p>
            <w:r>
              <w:t>1</w:t>
            </w:r>
          </w:p>
        </w:tc>
      </w:tr>
      <w:tr>
        <w:tc>
          <w:tcPr>
            <w:tcW w:type="dxa" w:w="1872"/>
          </w:tcPr>
          <w:p>
            <w:r>
              <w:t>Tipe Instruktur</w:t>
            </w:r>
          </w:p>
        </w:tc>
        <w:tc>
          <w:tcPr>
            <w:tcW w:type="dxa" w:w="1872"/>
          </w:tcPr>
          <w:p>
            <w:r>
              <w:t>OL</w:t>
            </w:r>
          </w:p>
        </w:tc>
        <w:tc>
          <w:tcPr>
            <w:tcW w:type="dxa" w:w="1872"/>
          </w:tcPr>
          <w:p>
            <w:r>
              <w:t>1.5</w:t>
            </w:r>
          </w:p>
        </w:tc>
        <w:tc>
          <w:tcPr>
            <w:tcW w:type="dxa" w:w="1872"/>
          </w:tcPr>
          <w:p>
            <w:r>
              <w:t>100.0%</w:t>
            </w:r>
          </w:p>
        </w:tc>
        <w:tc>
          <w:tcPr>
            <w:tcW w:type="dxa" w:w="1872"/>
          </w:tcPr>
          <w:p>
            <w:r>
              <w:t>2</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Facility Score diproyeksikan turun dari 21.6 menjadi sekitar 3.0 dalam periode tahun berikutnya, atau pada tahun 2027, apabila pola saat ini berlanjut. Layanan yang paling layak diprioritaskan untuk pengawasan adalah Program Magang / Kunjungan Industri.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Facility Score</w:t>
            </w:r>
          </w:p>
        </w:tc>
        <w:tc>
          <w:tcPr>
            <w:tcW w:type="dxa" w:w="1560"/>
          </w:tcPr>
          <w:p>
            <w:r>
              <w:t>21.6</w:t>
            </w:r>
          </w:p>
        </w:tc>
        <w:tc>
          <w:tcPr>
            <w:tcW w:type="dxa" w:w="1560"/>
          </w:tcPr>
          <w:p>
            <w:r>
              <w:t>Turun</w:t>
            </w:r>
          </w:p>
        </w:tc>
        <w:tc>
          <w:tcPr>
            <w:tcW w:type="dxa" w:w="1560"/>
          </w:tcPr>
          <w:p>
            <w:r>
              <w:t>3.0</w:t>
            </w:r>
          </w:p>
        </w:tc>
        <w:tc>
          <w:tcPr>
            <w:tcW w:type="dxa" w:w="1560"/>
          </w:tcPr>
          <w:p>
            <w:r>
              <w:t>periode tahun berikutnya</w:t>
            </w:r>
          </w:p>
        </w:tc>
        <w:tc>
          <w:tcPr>
            <w:tcW w:type="dxa" w:w="1560"/>
          </w:tcPr>
          <w:p>
            <w:r>
              <w:t>pada tahun 2027</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Program Magang / Kunjungan Industri</w:t>
            </w:r>
          </w:p>
        </w:tc>
        <w:tc>
          <w:tcPr>
            <w:tcW w:type="dxa" w:w="1872"/>
          </w:tcPr>
          <w:p>
            <w:r>
              <w:t>Tinggi</w:t>
            </w:r>
          </w:p>
        </w:tc>
        <w:tc>
          <w:tcPr>
            <w:tcW w:type="dxa" w:w="1872"/>
          </w:tcPr>
          <w:p>
            <w:r>
              <w:t>1.5</w:t>
            </w:r>
          </w:p>
        </w:tc>
        <w:tc>
          <w:tcPr>
            <w:tcW w:type="dxa" w:w="1872"/>
          </w:tcPr>
          <w:p>
            <w:r>
              <w:t>100.0%</w:t>
            </w:r>
          </w:p>
        </w:tc>
        <w:tc>
          <w:tcPr>
            <w:tcW w:type="dxa" w:w="1872"/>
          </w:tcPr>
          <w:p>
            <w:r>
              <w:t>2</w:t>
            </w:r>
          </w:p>
        </w:tc>
      </w:tr>
    </w:tbl>
    <w:p>
      <w:pPr>
        <w:pStyle w:val="ListBullet"/>
        <w:jc w:val="left"/>
      </w:pPr>
      <w:r>
        <w:rPr>
          <w:b w:val="0"/>
          <w:i w:val="0"/>
        </w:rPr>
        <w:t>Program Magang / Kunjungan Industri diperkirakan tetap menjadi area tinggi karena proporsi sinyal negatif 100.0% dengan rata-rata rating 1.5.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Tinggi</w:t>
            </w:r>
          </w:p>
        </w:tc>
        <w:tc>
          <w:tcPr>
            <w:tcW w:type="dxa" w:w="1872"/>
          </w:tcPr>
          <w:p>
            <w:r>
              <w:t>1.5</w:t>
            </w:r>
          </w:p>
        </w:tc>
        <w:tc>
          <w:tcPr>
            <w:tcW w:type="dxa" w:w="1872"/>
          </w:tcPr>
          <w:p>
            <w:r>
              <w:t>100.0%</w:t>
            </w:r>
          </w:p>
        </w:tc>
        <w:tc>
          <w:tcPr>
            <w:tcW w:type="dxa" w:w="1872"/>
          </w:tcPr>
          <w:p>
            <w:r>
              <w:t>2</w:t>
            </w:r>
          </w:p>
        </w:tc>
      </w:tr>
    </w:tbl>
    <w:p>
      <w:pPr>
        <w:pStyle w:val="ListBullet"/>
        <w:jc w:val="left"/>
      </w:pPr>
      <w:r>
        <w:rPr>
          <w:b w:val="0"/>
          <w:i w:val="0"/>
        </w:rPr>
        <w:t>Segmen Sekolah / Universitas perlu dipantau karena volume 2 feedback dengan proporsi negatif 100.0%.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Pelaksanaan Layanan</w:t>
            </w:r>
          </w:p>
        </w:tc>
        <w:tc>
          <w:tcPr>
            <w:tcW w:type="dxa" w:w="1872"/>
          </w:tcPr>
          <w:p>
            <w:r>
              <w:t>2.0</w:t>
            </w:r>
          </w:p>
        </w:tc>
        <w:tc>
          <w:tcPr>
            <w:tcW w:type="dxa" w:w="1872"/>
          </w:tcPr>
          <w:p>
            <w:r>
              <w:t>100.0%</w:t>
            </w:r>
          </w:p>
        </w:tc>
        <w:tc>
          <w:tcPr>
            <w:tcW w:type="dxa" w:w="1872"/>
          </w:tcPr>
          <w:p>
            <w:r>
              <w:t>0.0%</w:t>
            </w:r>
          </w:p>
        </w:tc>
        <w:tc>
          <w:tcPr>
            <w:tcW w:type="dxa" w:w="1872"/>
          </w:tcPr>
          <w:p>
            <w:r>
              <w:t>Kualitas instruktur atau konsultan</w:t>
            </w:r>
          </w:p>
        </w:tc>
      </w:tr>
      <w:tr>
        <w:tc>
          <w:tcPr>
            <w:tcW w:type="dxa" w:w="1872"/>
          </w:tcPr>
          <w:p>
            <w:r>
              <w:t>Tindak Lanjut dan Outcome</w:t>
            </w:r>
          </w:p>
        </w:tc>
        <w:tc>
          <w:tcPr>
            <w:tcW w:type="dxa" w:w="1872"/>
          </w:tcPr>
          <w:p>
            <w:r>
              <w:t>1.0</w:t>
            </w:r>
          </w:p>
        </w:tc>
        <w:tc>
          <w:tcPr>
            <w:tcW w:type="dxa" w:w="1872"/>
          </w:tcPr>
          <w:p>
            <w:r>
              <w:t>100.0%</w:t>
            </w:r>
          </w:p>
        </w:tc>
        <w:tc>
          <w:tcPr>
            <w:tcW w:type="dxa" w:w="1872"/>
          </w:tcPr>
          <w:p>
            <w:r>
              <w:t>0.0%</w:t>
            </w:r>
          </w:p>
        </w:tc>
        <w:tc>
          <w:tcPr>
            <w:tcW w:type="dxa" w:w="1872"/>
          </w:tcPr>
          <w:p>
            <w:r>
              <w:t>Dampak hasil layanan</w:t>
            </w:r>
          </w:p>
        </w:tc>
      </w:tr>
    </w:tbl>
    <w:p>
      <w:pPr>
        <w:pStyle w:val="ListBullet"/>
        <w:jc w:val="left"/>
      </w:pPr>
      <w:r>
        <w:rPr>
          <w:b w:val="0"/>
          <w:i w:val="0"/>
        </w:rPr>
        <w:t>Tahap Pelaksanaan Layanan diperkirakan tetap menjadi titik gesekan utama karena porsi sentimen negatif masih 100.0%.</w:t>
      </w:r>
    </w:p>
    <w:p>
      <w:pPr>
        <w:pStyle w:val="ListBullet"/>
        <w:jc w:val="left"/>
      </w:pPr>
      <w:r>
        <w:rPr>
          <w:b w:val="0"/>
          <w:i w:val="0"/>
        </w:rPr>
        <w:t>Tahap Tindak Lanjut dan Outcome diperkirakan tetap menjadi titik gesekan utama karena porsi sentimen negatif masih 100.0%.</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Semarang</w:t>
            </w:r>
          </w:p>
        </w:tc>
        <w:tc>
          <w:tcPr>
            <w:tcW w:type="dxa" w:w="1872"/>
          </w:tcPr>
          <w:p>
            <w:r>
              <w:t>Tinggi</w:t>
            </w:r>
          </w:p>
        </w:tc>
        <w:tc>
          <w:tcPr>
            <w:tcW w:type="dxa" w:w="1872"/>
          </w:tcPr>
          <w:p>
            <w:r>
              <w:t>1.0</w:t>
            </w:r>
          </w:p>
        </w:tc>
        <w:tc>
          <w:tcPr>
            <w:tcW w:type="dxa" w:w="1872"/>
          </w:tcPr>
          <w:p>
            <w:r>
              <w:t>100.0%</w:t>
            </w:r>
          </w:p>
        </w:tc>
      </w:tr>
      <w:tr>
        <w:tc>
          <w:tcPr>
            <w:tcW w:type="dxa" w:w="1872"/>
          </w:tcPr>
          <w:p>
            <w:r>
              <w:t>Lokasi</w:t>
            </w:r>
          </w:p>
        </w:tc>
        <w:tc>
          <w:tcPr>
            <w:tcW w:type="dxa" w:w="1872"/>
          </w:tcPr>
          <w:p>
            <w:r>
              <w:t>Yogyakarta</w:t>
            </w:r>
          </w:p>
        </w:tc>
        <w:tc>
          <w:tcPr>
            <w:tcW w:type="dxa" w:w="1872"/>
          </w:tcPr>
          <w:p>
            <w:r>
              <w:t>Tinggi</w:t>
            </w:r>
          </w:p>
        </w:tc>
        <w:tc>
          <w:tcPr>
            <w:tcW w:type="dxa" w:w="1872"/>
          </w:tcPr>
          <w:p>
            <w:r>
              <w:t>2.0</w:t>
            </w:r>
          </w:p>
        </w:tc>
        <w:tc>
          <w:tcPr>
            <w:tcW w:type="dxa" w:w="1872"/>
          </w:tcPr>
          <w:p>
            <w:r>
              <w:t>100.0%</w:t>
            </w:r>
          </w:p>
        </w:tc>
      </w:tr>
      <w:tr>
        <w:tc>
          <w:tcPr>
            <w:tcW w:type="dxa" w:w="1872"/>
          </w:tcPr>
          <w:p>
            <w:r>
              <w:t>Tipe Instruktur</w:t>
            </w:r>
          </w:p>
        </w:tc>
        <w:tc>
          <w:tcPr>
            <w:tcW w:type="dxa" w:w="1872"/>
          </w:tcPr>
          <w:p>
            <w:r>
              <w:t>OL</w:t>
            </w:r>
          </w:p>
        </w:tc>
        <w:tc>
          <w:tcPr>
            <w:tcW w:type="dxa" w:w="1872"/>
          </w:tcPr>
          <w:p>
            <w:r>
              <w:t>Tinggi</w:t>
            </w:r>
          </w:p>
        </w:tc>
        <w:tc>
          <w:tcPr>
            <w:tcW w:type="dxa" w:w="1872"/>
          </w:tcPr>
          <w:p>
            <w:r>
              <w:t>1.5</w:t>
            </w:r>
          </w:p>
        </w:tc>
        <w:tc>
          <w:tcPr>
            <w:tcW w:type="dxa" w:w="1872"/>
          </w:tcPr>
          <w:p>
            <w:r>
              <w:t>100.0%</w:t>
            </w:r>
          </w:p>
        </w:tc>
      </w:tr>
    </w:tbl>
    <w:p>
      <w:pPr>
        <w:pStyle w:val="ListBullet"/>
        <w:jc w:val="left"/>
      </w:pPr>
      <w:r>
        <w:rPr>
          <w:b w:val="0"/>
          <w:i w:val="0"/>
        </w:rPr>
        <w:t>Lokasi Semarang perlu dipantau karena proporsi sinyal negatifnya 100.0% dengan rating rata-rata 1.0.</w:t>
      </w:r>
    </w:p>
    <w:p>
      <w:pPr>
        <w:pStyle w:val="ListBullet"/>
        <w:jc w:val="left"/>
      </w:pPr>
      <w:r>
        <w:rPr>
          <w:b w:val="0"/>
          <w:i w:val="0"/>
        </w:rPr>
        <w:t>Lokasi Yogyakarta perlu dipantau karena proporsi sinyal negatifnya 100.0% dengan rating rata-rata 2.0.</w:t>
      </w:r>
    </w:p>
    <w:p>
      <w:pPr>
        <w:pStyle w:val="ListBullet"/>
        <w:jc w:val="left"/>
      </w:pPr>
      <w:r>
        <w:rPr>
          <w:b w:val="0"/>
          <w:i w:val="0"/>
        </w:rPr>
        <w:t>Komposisi instruktur OL juga perlu dibaca karena saat ini mencatat proporsi sinyal negatif 100.0%.</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Facility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Kualitas instruktur atau konsultan</w:t>
            </w:r>
          </w:p>
        </w:tc>
        <w:tc>
          <w:tcPr>
            <w:tcW w:type="dxa" w:w="1872"/>
          </w:tcPr>
          <w:p>
            <w:r>
              <w:t>Perkuat coaching instruktur, review kompetensi domain, dan standardisasi evaluasi fasilitator.</w:t>
            </w:r>
          </w:p>
        </w:tc>
        <w:tc>
          <w:tcPr>
            <w:tcW w:type="dxa" w:w="1872"/>
          </w:tcPr>
          <w:p>
            <w:r>
              <w:t>Academic Lead / Service Quality</w:t>
            </w:r>
          </w:p>
        </w:tc>
        <w:tc>
          <w:tcPr>
            <w:tcW w:type="dxa" w:w="1872"/>
          </w:tcPr>
          <w:p>
            <w:r>
              <w:t>Konsistensi kualitas fasilitator meningkat di berbagai layanan.</w:t>
            </w:r>
          </w:p>
        </w:tc>
      </w:tr>
      <w:tr>
        <w:tc>
          <w:tcPr>
            <w:tcW w:type="dxa" w:w="1872"/>
          </w:tcPr>
          <w:p>
            <w:r>
              <w:t>2</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bl>
    <w:p>
      <w:pPr>
        <w:pStyle w:val="ListNumber"/>
        <w:jc w:val="left"/>
      </w:pPr>
      <w:r>
        <w:rPr>
          <w:b w:val="0"/>
          <w:i w:val="0"/>
        </w:rPr>
        <w:t>Kualitas instruktur atau konsultan: Perkuat coaching instruktur, review kompetensi domain, dan standardisasi evaluasi fasilitator.</w:t>
      </w:r>
    </w:p>
    <w:p>
      <w:pPr>
        <w:pStyle w:val="ListNumber"/>
        <w:jc w:val="left"/>
      </w:pPr>
      <w:r>
        <w:rPr>
          <w:b w:val="0"/>
          <w:i w:val="0"/>
        </w:rPr>
        <w:t>Dampak hasil layanan: Pertahankan praktik outcome review dan ubah testimoni hasil menjadi playbook layanan.</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Tahun Terakhir (Yearly), pertimbangan implementasi perlu dilihat bersama konteks berikut: Sinyal eksternal belum tersedia, sehingga pembacaan kesiapan implementasi terutama bersandar pada data internal. Analisis saat ini dibaca menggunakan Facility Score dengan fokus pada fasilitas kelas, jaringan, ruang, sarana pendukung, dan kesiapan operasional sebelum delivery.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Cukup Siap</w:t>
            </w:r>
          </w:p>
        </w:tc>
        <w:tc>
          <w:tcPr>
            <w:tcW w:type="dxa" w:w="2340"/>
          </w:tcPr>
          <w:p>
            <w:r>
              <w:t>Prioritas implementasi yang paling konkret saat ini adalah memperkuat tata kelola feedback untuk mendeteksi lebih dini risiko pada layanan Program Magang / Kunjungan Industri dan memantau pengalaman segmen Sekolah / Universitas. Dengan rata-rata rating 1.5 dan sinyal negatif 100.0%, laporan ini sudah memiliki dasar yang cukup jelas untuk diterjemahkan ke keputusan bisnis. Fokus use case saat ini dibaca pada periode 1 Tahun Terakhir (Yearly), perspektif Facility Score, filter sentimen negatif, segmen Sekolah / Universitas.</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2 sumber dan 2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Perlu Diperkuat</w:t>
            </w:r>
          </w:p>
        </w:tc>
        <w:tc>
          <w:tcPr>
            <w:tcW w:type="dxa" w:w="2340"/>
          </w:tcPr>
          <w:p>
            <w:r>
              <w:t>Temuan periode ini menunjukkan bahwa inisiatif ini tidak dapat menjadi urusan IT saja. Tema utama yang muncul adalah Kualitas instruktur atau konsultan, sehingga interpretasi bisnis perlu melibatkan owner layanan. Belum ada kekuatan dominan yang cukup untuk dijadikan patokan lintas tim.</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Prioritas Tinggi</w:t>
            </w:r>
          </w:p>
        </w:tc>
        <w:tc>
          <w:tcPr>
            <w:tcW w:type="dxa" w:w="2340"/>
          </w:tcPr>
          <w:p>
            <w:r>
              <w:t>Budaya organisasi untuk inisiatif ini sebaiknya dibangun dengan semangat mencoba secara terstruktur. Komposisi sentimen positif 0.0%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Program Magang / Kunjungan Industri dan memantau pengalaman segmen Sekolah / Universitas. Dengan rata-rata rating 1.5 dan sinyal negatif 100.0%, laporan ini sudah memiliki dasar yang cukup jelas untuk diterjemahkan ke keputusan bisnis. Fokus use case saat ini dibaca pada periode 1 Tahun Terakhir (Yearly), perspektif Facility Score, filter sentimen negatif, segmen Sekolah / Universitas.</w:t>
      </w:r>
    </w:p>
    <w:p>
      <w:pPr>
        <w:jc w:val="both"/>
      </w:pPr>
      <w:r>
        <w:rPr>
          <w:b w:val="0"/>
          <w:i w:val="0"/>
        </w:rPr>
        <w:t xml:space="preserve">Status kesiapan saat ini: </w:t>
      </w:r>
      <w:r>
        <w:rPr>
          <w:b/>
          <w:i w:val="0"/>
        </w:rPr>
        <w:t>Cukup Siap</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Program Magang / Kunjungan Industri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Stress test facility and preparation problems that may affect delivery quality.</w:t>
      </w:r>
    </w:p>
    <w:p>
      <w:pPr>
        <w:pStyle w:val="Heading2"/>
      </w:pPr>
      <w:r>
        <w:t>5.2 Kesiapan Data dan Fondasi Analitik</w:t>
      </w:r>
    </w:p>
    <w:p>
      <w:pPr>
        <w:jc w:val="both"/>
      </w:pPr>
      <w:r>
        <w:rPr>
          <w:b w:val="0"/>
          <w:i w:val="0"/>
        </w:rPr>
        <w:t>Fondasi data saat ini cukup untuk memulai pilot karena kelengkapan field inti mencapai 100.0%. Namun cakupan masih berasal dari 2 sumber dan 2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Kualitas instruktur atau konsultan, sehingga interpretasi bisnis perlu melibatkan owner layanan. Belum ada kekuatan dominan yang cukup untuk dijadikan patokan lintas tim.</w:t>
      </w:r>
    </w:p>
    <w:p>
      <w:pPr>
        <w:jc w:val="both"/>
      </w:pPr>
      <w:r>
        <w:rPr>
          <w:b w:val="0"/>
          <w:i w:val="0"/>
        </w:rPr>
        <w:t xml:space="preserve">Status kesiapan saat ini: </w:t>
      </w:r>
      <w:r>
        <w:rPr>
          <w:b/>
          <w:i w:val="0"/>
        </w:rPr>
        <w:t>Perlu Diperkuat</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0.0%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Prioritas Tinggi</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