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Service Score dengan fokus pada responsiveness, koordinasi, ketepatan tindak lanjut, dan kualitas eksekusi 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Service Score diproyeksikan turun dari 62.6 menjadi sekitar 59.9 dalam 1-2 bulan ke depan, atau sekitar April 2026 sampai Mei 2026, apabila pola saat ini berlanjut. Fokus tambahan yang diminta pengguna: Parallel VPS simulation job 1</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Service Score</w:t>
            </w:r>
          </w:p>
        </w:tc>
      </w:tr>
      <w:tr>
        <w:tc>
          <w:tcPr>
            <w:tcW w:type="dxa" w:w="4680"/>
          </w:tcPr>
          <w:p>
            <w:r>
              <w:t>Service Score</w:t>
            </w:r>
          </w:p>
        </w:tc>
        <w:tc>
          <w:tcPr>
            <w:tcW w:type="dxa" w:w="4680"/>
          </w:tcPr>
          <w:p>
            <w:r>
              <w:t>62.6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Service Score saat ini: 62.6 dengan proyeksi turun ke 59.9.</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Service Score. Fokus pembacaannya menekankan responsiveness, koordinasi, ketepatan tindak lanjut, dan kualitas eksekusi 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1.</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Service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Service Score</w:t>
            </w:r>
          </w:p>
        </w:tc>
        <w:tc>
          <w:tcPr>
            <w:tcW w:type="dxa" w:w="4680"/>
          </w:tcPr>
          <w:p>
            <w:r>
              <w:t>62.6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Service Score</w:t>
            </w:r>
          </w:p>
        </w:tc>
        <w:tc>
          <w:tcPr>
            <w:tcW w:type="dxa" w:w="2340"/>
          </w:tcPr>
          <w:p>
            <w:r>
              <w:t>62.6</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Service Score, perhatian diagnosis terutama diarahkan ke responsiveness, koordinasi, ketepatan tindak lanjut, dan kualitas eksekusi 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Service Score diproyeksikan turun dari 62.6 menjadi sekitar 59.9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Service Score</w:t>
            </w:r>
          </w:p>
        </w:tc>
        <w:tc>
          <w:tcPr>
            <w:tcW w:type="dxa" w:w="1560"/>
          </w:tcPr>
          <w:p>
            <w:r>
              <w:t>62.6</w:t>
            </w:r>
          </w:p>
        </w:tc>
        <w:tc>
          <w:tcPr>
            <w:tcW w:type="dxa" w:w="1560"/>
          </w:tcPr>
          <w:p>
            <w:r>
              <w:t>Turun</w:t>
            </w:r>
          </w:p>
        </w:tc>
        <w:tc>
          <w:tcPr>
            <w:tcW w:type="dxa" w:w="1560"/>
          </w:tcPr>
          <w:p>
            <w:r>
              <w:t>59.9</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Service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Dampak hasil layanan: Pertahankan praktik outcome review dan ubah testimoni hasil menjadi playbook layanan.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Service Score dengan fokus pada responsiveness, koordinasi, ketepatan tindak lanjut, dan kualitas eksekusi 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1.</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