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787878"/>
          <w:sz w:val="20"/>
        </w:rPr>
        <w:t>STRICTLY CONFIDENTIAL</w:t>
      </w:r>
    </w:p>
    <w:p/>
    <w:p>
      <w:pPr>
        <w:jc w:val="center"/>
      </w:pPr>
      <w:r>
        <w:rPr>
          <w:rFonts w:ascii="Calibri" w:hAnsi="Calibri"/>
          <w:b/>
          <w:sz w:val="44"/>
        </w:rPr>
        <w:t>CASH IN INTELLIGENCE REPORT</w:t>
      </w:r>
    </w:p>
    <w:p>
      <w:pPr>
        <w:jc w:val="center"/>
      </w:pPr>
      <w:r>
        <w:rPr>
          <w:rFonts w:ascii="Calibri" w:hAnsi="Calibri"/>
          <w:b/>
          <w:color w:val="CC0000"/>
          <w:sz w:val="68"/>
        </w:rPr>
        <w:t>INIXINDO JOGJA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Cakupan Data</w:t>
            </w:r>
          </w:p>
        </w:tc>
        <w:tc>
          <w:tcPr>
            <w:tcW w:type="dxa" w:w="4680"/>
          </w:tcPr>
          <w:p>
            <w:r>
              <w:t>Seluruh histori invoice dan catatan penagihan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Tipe Laporan</w:t>
            </w:r>
          </w:p>
        </w:tc>
        <w:tc>
          <w:tcPr>
            <w:tcW w:type="dxa" w:w="4680"/>
          </w:tcPr>
          <w:p>
            <w:r>
              <w:t>Analisis deskriptif, diagnostik, prediktif, dan preskriptif cash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Tanggal Generasi</w:t>
            </w:r>
          </w:p>
        </w:tc>
        <w:tc>
          <w:tcPr>
            <w:tcW w:type="dxa" w:w="4680"/>
          </w:tcPr>
          <w:p>
            <w:r>
              <w:t>31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Disusun Oleh</w:t>
            </w:r>
          </w:p>
        </w:tc>
        <w:tc>
          <w:tcPr>
            <w:tcW w:type="dxa" w:w="4680"/>
          </w:tcPr>
          <w:p>
            <w:r>
              <w:t>Inixindo Jogja - Finance &amp; Revenue Optimization Division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Klik kanan lalu pilih Update Field untuk memuat daftar isi.</w:t>
      </w:r>
      <w:r>
        <w:fldChar w:fldCharType="end"/>
      </w:r>
    </w:p>
    <w:p>
      <w:pPr>
        <w:jc w:val="left"/>
      </w:pPr>
      <w:r>
        <w:rPr>
          <w:i/>
          <w:sz w:val="20"/>
        </w:rPr>
        <w:t>Catatan: jika daftar isi belum muncul, klik kanan pada area daftar isi lalu pilih Update Field.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Ringkasan Eksekutif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Keterangan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Jumlah Invoice</w:t>
            </w:r>
          </w:p>
        </w:tc>
        <w:tc>
          <w:tcPr>
            <w:tcW w:type="dxa" w:w="4680"/>
          </w:tcPr>
          <w:p>
            <w:r>
              <w:t>49</w:t>
            </w:r>
          </w:p>
        </w:tc>
      </w:tr>
      <w:tr>
        <w:tc>
          <w:tcPr>
            <w:tcW w:type="dxa" w:w="4680"/>
          </w:tcPr>
          <w:p>
            <w:r>
              <w:t>Total Nilai Invoice</w:t>
            </w:r>
          </w:p>
        </w:tc>
        <w:tc>
          <w:tcPr>
            <w:tcW w:type="dxa" w:w="4680"/>
          </w:tcPr>
          <w:p>
            <w:r>
              <w:t>Rp 6.963 miliar</w:t>
            </w:r>
          </w:p>
        </w:tc>
      </w:tr>
      <w:tr>
        <w:tc>
          <w:tcPr>
            <w:tcW w:type="dxa" w:w="4680"/>
          </w:tcPr>
          <w:p>
            <w:r>
              <w:t>Invoice Telat</w:t>
            </w:r>
          </w:p>
        </w:tc>
        <w:tc>
          <w:tcPr>
            <w:tcW w:type="dxa" w:w="4680"/>
          </w:tcPr>
          <w:p>
            <w:r>
              <w:t>40 kasus (81,6 %) – nilai tertunda Rp 5.650 miliar</w:t>
            </w:r>
          </w:p>
        </w:tc>
      </w:tr>
      <w:tr>
        <w:tc>
          <w:tcPr>
            <w:tcW w:type="dxa" w:w="4680"/>
          </w:tcPr>
          <w:p>
            <w:r>
              <w:t>Invoice Kelas D/E (risiko tinggi)</w:t>
            </w:r>
          </w:p>
        </w:tc>
        <w:tc>
          <w:tcPr>
            <w:tcW w:type="dxa" w:w="4680"/>
          </w:tcPr>
          <w:p>
            <w:r>
              <w:t>11 invoice (22,4 %) – nilai Rp 1.547 miliar</w:t>
            </w:r>
          </w:p>
        </w:tc>
      </w:tr>
      <w:tr>
        <w:tc>
          <w:tcPr>
            <w:tcW w:type="dxa" w:w="4680"/>
          </w:tcPr>
          <w:p>
            <w:r>
              <w:t>Skor Risiko Penagihan Rata‑rata</w:t>
            </w:r>
          </w:p>
        </w:tc>
        <w:tc>
          <w:tcPr>
            <w:tcW w:type="dxa" w:w="4680"/>
          </w:tcPr>
          <w:p>
            <w:r>
              <w:t>2,63 / 5,00 (menurun menjadi 2,56 pada Q3‑2026)</w:t>
            </w:r>
          </w:p>
        </w:tc>
      </w:tr>
      <w:tr>
        <w:tc>
          <w:tcPr>
            <w:tcW w:type="dxa" w:w="4680"/>
          </w:tcPr>
          <w:p>
            <w:r>
              <w:t>Estimasi Cash‑In Risk‑Adjusted (Base Case)</w:t>
            </w:r>
          </w:p>
        </w:tc>
        <w:tc>
          <w:tcPr>
            <w:tcW w:type="dxa" w:w="4680"/>
          </w:tcPr>
          <w:p>
            <w:r>
              <w:t>Rp 5.140,45 miliar (73,8 % dari total)</w:t>
            </w:r>
          </w:p>
        </w:tc>
      </w:tr>
      <w:tr>
        <w:tc>
          <w:tcPr>
            <w:tcW w:type="dxa" w:w="4680"/>
          </w:tcPr>
          <w:p>
            <w:r>
              <w:t>Gap Cash‑In (Base Case)</w:t>
            </w:r>
          </w:p>
        </w:tc>
        <w:tc>
          <w:tcPr>
            <w:tcW w:type="dxa" w:w="4680"/>
          </w:tcPr>
          <w:p>
            <w:r>
              <w:t>Rp 1.822,55 miliar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Konsentrasi Risiko Tinggi</w:t>
      </w:r>
      <w:r>
        <w:rPr>
          <w:b w:val="0"/>
          <w:i w:val="0"/>
          <w:u w:val="none"/>
        </w:rPr>
        <w:t xml:space="preserve"> – 5 invoice (Rp 630 juta) berasal dari </w:t>
      </w:r>
      <w:r>
        <w:rPr>
          <w:b w:val="0"/>
          <w:i/>
          <w:u w:val="none"/>
        </w:rPr>
        <w:t>Swasta (Tech Startup)</w:t>
      </w:r>
      <w:r>
        <w:rPr>
          <w:b w:val="0"/>
          <w:i w:val="0"/>
          <w:u w:val="none"/>
        </w:rPr>
        <w:t xml:space="preserve">, diikuti oleh </w:t>
      </w:r>
      <w:r>
        <w:rPr>
          <w:b w:val="0"/>
          <w:i/>
          <w:u w:val="none"/>
        </w:rPr>
        <w:t>Instansi Pemerintah</w:t>
      </w:r>
      <w:r>
        <w:rPr>
          <w:b w:val="0"/>
          <w:i w:val="0"/>
          <w:u w:val="none"/>
        </w:rPr>
        <w:t xml:space="preserve"> (Rp 250 juta), </w:t>
      </w:r>
      <w:r>
        <w:rPr>
          <w:b w:val="0"/>
          <w:i/>
          <w:u w:val="none"/>
        </w:rPr>
        <w:t>Universitas</w:t>
      </w:r>
      <w:r>
        <w:rPr>
          <w:b w:val="0"/>
          <w:i w:val="0"/>
          <w:u w:val="none"/>
        </w:rPr>
        <w:t xml:space="preserve"> (Rp 215 juta), </w:t>
      </w:r>
      <w:r>
        <w:rPr>
          <w:b w:val="0"/>
          <w:i/>
          <w:u w:val="none"/>
        </w:rPr>
        <w:t>Swasta (Corporate)</w:t>
      </w:r>
      <w:r>
        <w:rPr>
          <w:b w:val="0"/>
          <w:i w:val="0"/>
          <w:u w:val="none"/>
        </w:rPr>
        <w:t xml:space="preserve"> (Rp 165 juta), dan </w:t>
      </w:r>
      <w:r>
        <w:rPr>
          <w:b w:val="0"/>
          <w:i/>
          <w:u w:val="none"/>
        </w:rPr>
        <w:t>Pemerintahan Daerah</w:t>
      </w:r>
      <w:r>
        <w:rPr>
          <w:b w:val="0"/>
          <w:i w:val="0"/>
          <w:u w:val="none"/>
        </w:rPr>
        <w:t xml:space="preserve"> (Rp 145 juta). Layanan dengan eksposur tertinggi: </w:t>
      </w:r>
      <w:r>
        <w:rPr>
          <w:b/>
          <w:i w:val="0"/>
          <w:u w:val="none"/>
        </w:rPr>
        <w:t>Audit SPBE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Bootcamp Data Science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Konsultasi Deployment Local LLM</w:t>
      </w:r>
      <w:r>
        <w:rPr>
          <w:b w:val="0"/>
          <w:i w:val="0"/>
          <w:u w:val="none"/>
        </w:rPr>
        <w:t>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Tren Kuartalan (Q2‑2026 → Q3‑2026)</w:t>
      </w:r>
    </w:p>
    <w:p>
      <w:pPr>
        <w:pStyle w:val="ListBullet"/>
        <w:jc w:val="left"/>
      </w:pPr>
      <w:r>
        <w:rPr>
          <w:b/>
          <w:i w:val="0"/>
          <w:u w:val="none"/>
        </w:rPr>
        <w:t>Nilai Invoice</w:t>
      </w:r>
      <w:r>
        <w:rPr>
          <w:b w:val="0"/>
          <w:i w:val="0"/>
          <w:u w:val="none"/>
        </w:rPr>
        <w:t xml:space="preserve"> turun 0,6 % (Rp 1.276 m → Rp 1.268 m).</w:t>
      </w:r>
    </w:p>
    <w:p>
      <w:pPr>
        <w:pStyle w:val="ListBullet"/>
        <w:jc w:val="left"/>
      </w:pPr>
      <w:r>
        <w:rPr>
          <w:b/>
          <w:i w:val="0"/>
          <w:u w:val="none"/>
        </w:rPr>
        <w:t>Skor Risiko</w:t>
      </w:r>
      <w:r>
        <w:rPr>
          <w:b w:val="0"/>
          <w:i w:val="0"/>
          <w:u w:val="none"/>
        </w:rPr>
        <w:t xml:space="preserve"> turun 0,11 poin (2,67 → 2,56) → indikasi perbaikan kualitas penagihan.</w:t>
      </w:r>
    </w:p>
    <w:p>
      <w:pPr>
        <w:pStyle w:val="ListBullet"/>
        <w:jc w:val="left"/>
      </w:pPr>
      <w:r>
        <w:rPr>
          <w:b/>
          <w:i w:val="0"/>
          <w:u w:val="none"/>
        </w:rPr>
        <w:t>Jumlah Invoice</w:t>
      </w:r>
      <w:r>
        <w:rPr>
          <w:b w:val="0"/>
          <w:i w:val="0"/>
          <w:u w:val="none"/>
        </w:rPr>
        <w:t xml:space="preserve"> stabil (+0).</w:t>
      </w:r>
    </w:p>
    <w:p>
      <w:pPr>
        <w:jc w:val="both"/>
      </w:pPr>
      <w:r>
        <w:rPr>
          <w:b w:val="0"/>
          <w:i w:val="0"/>
          <w:u w:val="none"/>
        </w:rPr>
        <w:t xml:space="preserve">Meskipun skor risiko menurun, </w:t>
      </w:r>
      <w:r>
        <w:rPr>
          <w:b/>
          <w:i w:val="0"/>
          <w:u w:val="none"/>
        </w:rPr>
        <w:t>proporsi invoice telat tetap &gt;80 %</w:t>
      </w:r>
      <w:r>
        <w:rPr>
          <w:b w:val="0"/>
          <w:i w:val="0"/>
          <w:u w:val="none"/>
        </w:rPr>
        <w:t>, menandakan bahwa perbaikan belum merata di seluruh segmen.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Penyebab Utama (Root Causes)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Penyebab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Frekuensi catatan historis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Contoh internal</w:t>
            </w:r>
          </w:p>
        </w:tc>
      </w:tr>
      <w:tr>
        <w:tc>
          <w:tcPr>
            <w:tcW w:type="dxa" w:w="3120"/>
          </w:tcPr>
          <w:p>
            <w:r>
              <w:t>Dokumen &amp; administrasi tidak lengkap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“Invoice ditahan sampai berita acara final ditandatangani seluruh pihak.”</w:t>
            </w:r>
          </w:p>
        </w:tc>
      </w:tr>
      <w:tr>
        <w:tc>
          <w:tcPr>
            <w:tcW w:type="dxa" w:w="3120"/>
          </w:tcPr>
          <w:p>
            <w:r>
              <w:t>Siklus anggaran (pemerintah)</w:t>
            </w:r>
          </w:p>
        </w:tc>
        <w:tc>
          <w:tcPr>
            <w:tcW w:type="dxa" w:w="3120"/>
          </w:tcPr>
          <w:p>
            <w:r>
              <w:t>11</w:t>
            </w:r>
          </w:p>
        </w:tc>
        <w:tc>
          <w:tcPr>
            <w:tcW w:type="dxa" w:w="3120"/>
          </w:tcPr>
          <w:p>
            <w:r>
              <w:t>“Perubahan APBD, backlog tanda tangan pejabat.”</w:t>
            </w:r>
          </w:p>
        </w:tc>
      </w:tr>
      <w:tr>
        <w:tc>
          <w:tcPr>
            <w:tcW w:type="dxa" w:w="3120"/>
          </w:tcPr>
          <w:p>
            <w:r>
              <w:t>Persetujuan internal klien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“Proses tanda tangan direksi BUMN memakan waktu.”</w:t>
            </w:r>
          </w:p>
        </w:tc>
      </w:tr>
      <w:tr>
        <w:tc>
          <w:tcPr>
            <w:tcW w:type="dxa" w:w="3120"/>
          </w:tcPr>
          <w:p>
            <w:r>
              <w:t>Likuiditas pelanggan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“Likuiditas pelanggan menjadi hambatan pada startup tech.”</w:t>
            </w:r>
          </w:p>
        </w:tc>
      </w:tr>
      <w:tr>
        <w:tc>
          <w:tcPr>
            <w:tcW w:type="dxa" w:w="3120"/>
          </w:tcPr>
          <w:p>
            <w:r>
              <w:t>Sengketa ruang lingkup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“Klarifikasi deliverable belum selesai, invoice ditahan procurement.”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Skenario 1‑2 Kuartal ke Depan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5.682,56 miliar</w:t>
            </w:r>
          </w:p>
        </w:tc>
        <w:tc>
          <w:tcPr>
            <w:tcW w:type="dxa" w:w="2340"/>
          </w:tcPr>
          <w:p>
            <w:r>
              <w:t>Rp 1.280,44 miliar</w:t>
            </w:r>
          </w:p>
        </w:tc>
        <w:tc>
          <w:tcPr>
            <w:tcW w:type="dxa" w:w="2340"/>
          </w:tcPr>
          <w:p>
            <w:r>
              <w:t>Perbaikan cepat pada approval, dokumen, dan eskalasi akun prioritas.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5.140,45 miliar</w:t>
            </w:r>
          </w:p>
        </w:tc>
        <w:tc>
          <w:tcPr>
            <w:tcW w:type="dxa" w:w="2340"/>
          </w:tcPr>
          <w:p>
            <w:r>
              <w:t>Rp 1.822,55 miliar</w:t>
            </w:r>
          </w:p>
        </w:tc>
        <w:tc>
          <w:tcPr>
            <w:tcW w:type="dxa" w:w="2340"/>
          </w:tcPr>
          <w:p>
            <w:r>
              <w:t>Pola historis tetap; risiko tinggi tidak berubah signifikan.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4.466,65 miliar</w:t>
            </w:r>
          </w:p>
        </w:tc>
        <w:tc>
          <w:tcPr>
            <w:tcW w:type="dxa" w:w="2340"/>
          </w:tcPr>
          <w:p>
            <w:r>
              <w:t>Rp 2.496,35 miliar</w:t>
            </w:r>
          </w:p>
        </w:tc>
        <w:tc>
          <w:tcPr>
            <w:tcW w:type="dxa" w:w="2340"/>
          </w:tcPr>
          <w:p>
            <w:r>
              <w:t>Penurunan likuiditas, siklus anggaran menunda, atau dispute meningkat.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Manajemen</w:t>
      </w:r>
    </w:p>
    <w:p>
      <w:pPr>
        <w:pStyle w:val="ListNumber"/>
        <w:jc w:val="left"/>
      </w:pPr>
      <w:r>
        <w:rPr>
          <w:b/>
          <w:i w:val="0"/>
          <w:u w:val="none"/>
        </w:rPr>
        <w:t>Likuiditas perusahaan</w:t>
      </w:r>
      <w:r>
        <w:rPr>
          <w:b w:val="0"/>
          <w:i w:val="0"/>
          <w:u w:val="none"/>
        </w:rPr>
        <w:t xml:space="preserve"> terancam jika cash‑in tetap berada di bawah Rp 5 miliar per kuartal; dapat mempengaruhi kemampuan membayar vendor dan memenuhi covenant.</w:t>
      </w:r>
    </w:p>
    <w:p>
      <w:pPr>
        <w:pStyle w:val="ListNumber"/>
        <w:jc w:val="left"/>
      </w:pPr>
      <w:r>
        <w:rPr>
          <w:b/>
          <w:i w:val="0"/>
          <w:u w:val="none"/>
        </w:rPr>
        <w:t>Konsentrasi pada segmen startup tech</w:t>
      </w:r>
      <w:r>
        <w:rPr>
          <w:b w:val="0"/>
          <w:i w:val="0"/>
          <w:u w:val="none"/>
        </w:rPr>
        <w:t xml:space="preserve"> (nilai Rp 630 juta, skor risiko 4,6) menambah volatilitas cash‑in; perlu monitoring intensif.</w:t>
      </w:r>
    </w:p>
    <w:p>
      <w:pPr>
        <w:pStyle w:val="ListNumber"/>
        <w:jc w:val="left"/>
      </w:pPr>
      <w:r>
        <w:rPr>
          <w:b/>
          <w:i w:val="0"/>
          <w:u w:val="none"/>
        </w:rPr>
        <w:t>Siklus anggaran pemerintah</w:t>
      </w:r>
      <w:r>
        <w:rPr>
          <w:b w:val="0"/>
          <w:i w:val="0"/>
          <w:u w:val="none"/>
        </w:rPr>
        <w:t xml:space="preserve"> menjadi faktor eksternal yang dapat memperlebar gap pada kuartal berikutnya, terutama untuk invoice Kelas D.</w:t>
      </w:r>
    </w:p>
    <w:p>
      <w:pPr>
        <w:pStyle w:val="Heading3"/>
        <w:jc w:val="left"/>
      </w:pPr>
      <w:r>
        <w:rPr>
          <w:b w:val="0"/>
          <w:i w:val="0"/>
          <w:u w:val="none"/>
        </w:rPr>
        <w:t>Rekomendasi Tindakan Prioritas (30 hari)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 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Swasta (Tech Startup) – Konsultasi Deployment Local LLM (Kelas E, Rp 180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termin 30 hari, minta komitmen tanggal bayar tertulis, siapkan eskalasi manajemen.</w:t>
            </w:r>
          </w:p>
        </w:tc>
        <w:tc>
          <w:tcPr>
            <w:tcW w:type="dxa" w:w="1560"/>
          </w:tcPr>
          <w:p>
            <w:r>
              <w:t>Percepatan cash‑in Rp 120 jt (≈ 67 % nilai).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Swasta (Corporate) – Consulting Data Governance (Kelas E, Rp 165 jt)</w:t>
            </w:r>
          </w:p>
        </w:tc>
        <w:tc>
          <w:tcPr>
            <w:tcW w:type="dxa" w:w="1560"/>
          </w:tcPr>
          <w:p>
            <w:r>
              <w:t>Project Lead + Finance Manager</w:t>
            </w:r>
          </w:p>
        </w:tc>
        <w:tc>
          <w:tcPr>
            <w:tcW w:type="dxa" w:w="1560"/>
          </w:tcPr>
          <w:p>
            <w:r>
              <w:t>Sengketa ruang lingkup</w:t>
            </w:r>
          </w:p>
        </w:tc>
        <w:tc>
          <w:tcPr>
            <w:tcW w:type="dxa" w:w="1560"/>
          </w:tcPr>
          <w:p>
            <w:r>
              <w:t>Tutup ruang lingkup yang disengketakan, dokumentasikan keputusan, tahan ekspansi pekerjaan sampai dispute selesai.</w:t>
            </w:r>
          </w:p>
        </w:tc>
        <w:tc>
          <w:tcPr>
            <w:tcW w:type="dxa" w:w="1560"/>
          </w:tcPr>
          <w:p>
            <w:r>
              <w:t>Likuidasi dispute → potensi cash‑in Rp 130 jt.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Swasta (Tech Startup) – Advisory MLOps (Kelas E, Rp 125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Sama seperti Prioritas 1 (termin 30 hari).</w:t>
            </w:r>
          </w:p>
        </w:tc>
        <w:tc>
          <w:tcPr>
            <w:tcW w:type="dxa" w:w="1560"/>
          </w:tcPr>
          <w:p>
            <w:r>
              <w:t>Cash‑in tambahan Rp 85 jt.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Swasta (Tech Startup) – Bootcamp Data Science (Kelas E, Rp 90 jt)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 termin, kirim reminder harian, libatkan legal bila diperlukan.</w:t>
            </w:r>
          </w:p>
        </w:tc>
        <w:tc>
          <w:tcPr>
            <w:tcW w:type="dxa" w:w="1560"/>
          </w:tcPr>
          <w:p>
            <w:r>
              <w:t>Cash‑in Rp 60 jt.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Instansi Pemerintah – Audit SPBE (Kelas D, Rp 250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Validasi posisi anggaran, jadwalkan meeting koordinasi dengan PIC, siapkan eskalasi sebelum cut‑off termin.</w:t>
            </w:r>
          </w:p>
        </w:tc>
        <w:tc>
          <w:tcPr>
            <w:tcW w:type="dxa" w:w="1560"/>
          </w:tcPr>
          <w:p>
            <w:r>
              <w:t>Mempercepat cash‑in Rp 180 jt.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Pemerintahan Daerah – Bimtek AI Governance (Kelas D, Rp 145 jt)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Sama seperti Prioritas 5.</w:t>
            </w:r>
          </w:p>
        </w:tc>
        <w:tc>
          <w:tcPr>
            <w:tcW w:type="dxa" w:w="1560"/>
          </w:tcPr>
          <w:p>
            <w:r>
              <w:t>Cash‑in Rp 105 jt.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Prasyarat Implementasi</w:t>
      </w:r>
      <w:r>
        <w:rPr>
          <w:b w:val="0"/>
          <w:i w:val="0"/>
          <w:u w:val="none"/>
        </w:rPr>
        <w:br/>
        <w:t xml:space="preserve">- </w:t>
      </w:r>
      <w:r>
        <w:rPr>
          <w:b/>
          <w:i w:val="0"/>
          <w:u w:val="none"/>
        </w:rPr>
        <w:t>Data pendukung</w:t>
      </w:r>
      <w:r>
        <w:rPr>
          <w:b w:val="0"/>
          <w:i w:val="0"/>
          <w:u w:val="none"/>
        </w:rPr>
        <w:t>: update status dokumen &amp; persetujuan dalam sistem ERP (deadline 3 hari).</w:t>
        <w:br/>
        <w:t xml:space="preserve">- </w:t>
      </w:r>
      <w:r>
        <w:rPr>
          <w:b/>
          <w:i w:val="0"/>
          <w:u w:val="none"/>
        </w:rPr>
        <w:t>Komunikasi</w:t>
      </w:r>
      <w:r>
        <w:rPr>
          <w:b w:val="0"/>
          <w:i w:val="0"/>
          <w:u w:val="none"/>
        </w:rPr>
        <w:t>: template email eskalasi dan term sheet termin harus disetujui oleh Legal (deadline 5 hari).</w:t>
        <w:br/>
        <w:t xml:space="preserve">- </w:t>
      </w:r>
      <w:r>
        <w:rPr>
          <w:b/>
          <w:i w:val="0"/>
          <w:u w:val="none"/>
        </w:rPr>
        <w:t>Monitoring</w:t>
      </w:r>
      <w:r>
        <w:rPr>
          <w:b w:val="0"/>
          <w:i w:val="0"/>
          <w:u w:val="none"/>
        </w:rPr>
        <w:t>: dashboard harian pada PowerBI menampilkan KPI “Days Past Due” per akun; review mingguan oleh CFO.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Dampak Bisnis</w:t>
      </w:r>
    </w:p>
    <w:p>
      <w:pPr>
        <w:pStyle w:val="ListBullet"/>
        <w:jc w:val="left"/>
      </w:pPr>
      <w:r>
        <w:rPr>
          <w:b/>
          <w:i w:val="0"/>
          <w:u w:val="none"/>
        </w:rPr>
        <w:t>Pengurangan Gap Cash‑In</w:t>
      </w:r>
      <w:r>
        <w:rPr>
          <w:b w:val="0"/>
          <w:i w:val="0"/>
          <w:u w:val="none"/>
        </w:rPr>
        <w:t xml:space="preserve">: Jika semua aksi 1‑6 berhasil, estimasi cash‑in naik menjadi </w:t>
      </w:r>
      <w:r>
        <w:rPr>
          <w:b/>
          <w:i w:val="0"/>
          <w:u w:val="none"/>
        </w:rPr>
        <w:t>≈ Rp 5,68 miliar</w:t>
      </w:r>
      <w:r>
        <w:rPr>
          <w:b w:val="0"/>
          <w:i w:val="0"/>
          <w:u w:val="none"/>
        </w:rPr>
        <w:t xml:space="preserve"> (skenario Upside), menutup **≈ Rp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Deskriptif Cash In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680"/>
          </w:tcPr>
          <w:p>
            <w:r>
              <w:t>Jumlah invoice dianalisis</w:t>
            </w:r>
          </w:p>
        </w:tc>
        <w:tc>
          <w:tcPr>
            <w:tcW w:type="dxa" w:w="4680"/>
          </w:tcPr>
          <w:p>
            <w:r>
              <w:t>49</w:t>
            </w:r>
          </w:p>
        </w:tc>
      </w:tr>
      <w:tr>
        <w:tc>
          <w:tcPr>
            <w:tcW w:type="dxa" w:w="4680"/>
          </w:tcPr>
          <w:p>
            <w:r>
              <w:t>Total nilai invoice</w:t>
            </w:r>
          </w:p>
        </w:tc>
        <w:tc>
          <w:tcPr>
            <w:tcW w:type="dxa" w:w="4680"/>
          </w:tcPr>
          <w:p>
            <w:r>
              <w:t>Rp 6.963.000.000</w:t>
            </w:r>
          </w:p>
        </w:tc>
      </w:tr>
      <w:tr>
        <w:tc>
          <w:tcPr>
            <w:tcW w:type="dxa" w:w="4680"/>
          </w:tcPr>
          <w:p>
            <w:r>
              <w:t>Porsi invoice terlambat</w:t>
            </w:r>
          </w:p>
        </w:tc>
        <w:tc>
          <w:tcPr>
            <w:tcW w:type="dxa" w:w="4680"/>
          </w:tcPr>
          <w:p>
            <w:r>
              <w:t>81,6 % (40 invoice)</w:t>
            </w:r>
          </w:p>
        </w:tc>
      </w:tr>
      <w:tr>
        <w:tc>
          <w:tcPr>
            <w:tcW w:type="dxa" w:w="4680"/>
          </w:tcPr>
          <w:p>
            <w:r>
              <w:t>Nilai invoice terlambat</w:t>
            </w:r>
          </w:p>
        </w:tc>
        <w:tc>
          <w:tcPr>
            <w:tcW w:type="dxa" w:w="4680"/>
          </w:tcPr>
          <w:p>
            <w:r>
              <w:t>Rp 5.650.000.000</w:t>
            </w:r>
          </w:p>
        </w:tc>
      </w:tr>
      <w:tr>
        <w:tc>
          <w:tcPr>
            <w:tcW w:type="dxa" w:w="4680"/>
          </w:tcPr>
          <w:p>
            <w:r>
              <w:t>Porsi invoice risiko tinggi (Kelas D/E)</w:t>
            </w:r>
          </w:p>
        </w:tc>
        <w:tc>
          <w:tcPr>
            <w:tcW w:type="dxa" w:w="4680"/>
          </w:tcPr>
          <w:p>
            <w:r>
              <w:t>22,4 % (11 invoice)</w:t>
            </w:r>
          </w:p>
        </w:tc>
      </w:tr>
      <w:tr>
        <w:tc>
          <w:tcPr>
            <w:tcW w:type="dxa" w:w="4680"/>
          </w:tcPr>
          <w:p>
            <w:r>
              <w:t>Nilai risiko tinggi</w:t>
            </w:r>
          </w:p>
        </w:tc>
        <w:tc>
          <w:tcPr>
            <w:tcW w:type="dxa" w:w="4680"/>
          </w:tcPr>
          <w:p>
            <w:r>
              <w:t>Rp 1.547.000.000</w:t>
            </w:r>
          </w:p>
        </w:tc>
      </w:tr>
      <w:tr>
        <w:tc>
          <w:tcPr>
            <w:tcW w:type="dxa" w:w="4680"/>
          </w:tcPr>
          <w:p>
            <w:r>
              <w:t>Skor risiko penagihan rata‑rata</w:t>
            </w:r>
          </w:p>
        </w:tc>
        <w:tc>
          <w:tcPr>
            <w:tcW w:type="dxa" w:w="4680"/>
          </w:tcPr>
          <w:p>
            <w:r>
              <w:t>2,63 / 5,00 (menurun menjadi 2,56 pada Q3 2026)</w:t>
            </w:r>
          </w:p>
        </w:tc>
      </w:tr>
      <w:tr>
        <w:tc>
          <w:tcPr>
            <w:tcW w:type="dxa" w:w="4680"/>
          </w:tcPr>
          <w:p>
            <w:r>
              <w:t>Estimasi cash‑in risk‑adjusted (base case)</w:t>
            </w:r>
          </w:p>
        </w:tc>
        <w:tc>
          <w:tcPr>
            <w:tcW w:type="dxa" w:w="4680"/>
          </w:tcPr>
          <w:p>
            <w:r>
              <w:t>Rp 5.140.450.000 (73,8 % dari total)</w:t>
            </w:r>
          </w:p>
        </w:tc>
      </w:tr>
      <w:tr>
        <w:tc>
          <w:tcPr>
            <w:tcW w:type="dxa" w:w="4680"/>
          </w:tcPr>
          <w:p>
            <w:r>
              <w:t>Gap cash‑in (base case)</w:t>
            </w:r>
          </w:p>
        </w:tc>
        <w:tc>
          <w:tcPr>
            <w:tcW w:type="dxa" w:w="4680"/>
          </w:tcPr>
          <w:p>
            <w:r>
              <w:t>Rp 1.822.550.000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Pergerakan Q2 2026 → Q3 2026</w:t>
      </w:r>
      <w:r>
        <w:rPr>
          <w:b w:val="0"/>
          <w:i w:val="0"/>
          <w:u w:val="none"/>
        </w:rPr>
        <w:br/>
        <w:t>- Jumlah invoice tidak berubah (9 → 9).</w:t>
        <w:br/>
        <w:t>- Nilai invoice turun 0,6 % (Rp 1.276 jt → Rp 1.268 jt).</w:t>
        <w:br/>
        <w:t>- Skor risiko rata‑rata turun 0,11 poin (2,67 → 2,56), menandakan perbaikan kualitas penagihan.</w:t>
      </w:r>
    </w:p>
    <w:p>
      <w:pPr>
        <w:jc w:val="both"/>
      </w:pPr>
      <w:r>
        <w:rPr>
          <w:b/>
          <w:i w:val="0"/>
          <w:u w:val="none"/>
        </w:rPr>
        <w:t>Distribusi Kelas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Kelas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Persentase</w:t>
            </w:r>
          </w:p>
        </w:tc>
      </w:tr>
      <w:tr>
        <w:tc>
          <w:tcPr>
            <w:tcW w:type="dxa" w:w="2340"/>
          </w:tcPr>
          <w:p>
            <w:r>
              <w:t>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 1.313.000.000</w:t>
            </w:r>
          </w:p>
        </w:tc>
        <w:tc>
          <w:tcPr>
            <w:tcW w:type="dxa" w:w="2340"/>
          </w:tcPr>
          <w:p>
            <w:r>
              <w:t>18,4 %</w:t>
            </w:r>
          </w:p>
        </w:tc>
      </w:tr>
      <w:tr>
        <w:tc>
          <w:tcPr>
            <w:tcW w:type="dxa" w:w="2340"/>
          </w:tcPr>
          <w:p>
            <w:r>
              <w:t>B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Rp 1.970.000.000</w:t>
            </w:r>
          </w:p>
        </w:tc>
        <w:tc>
          <w:tcPr>
            <w:tcW w:type="dxa" w:w="2340"/>
          </w:tcPr>
          <w:p>
            <w:r>
              <w:t>30,6 %</w:t>
            </w:r>
          </w:p>
        </w:tc>
      </w:tr>
      <w:tr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Rp 2.133.000.000</w:t>
            </w:r>
          </w:p>
        </w:tc>
        <w:tc>
          <w:tcPr>
            <w:tcW w:type="dxa" w:w="2340"/>
          </w:tcPr>
          <w:p>
            <w:r>
              <w:t>28,6 %</w:t>
            </w:r>
          </w:p>
        </w:tc>
      </w:tr>
      <w:tr>
        <w:tc>
          <w:tcPr>
            <w:tcW w:type="dxa" w:w="2340"/>
          </w:tcPr>
          <w:p>
            <w:r>
              <w:t>D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 987.000.000</w:t>
            </w:r>
          </w:p>
        </w:tc>
        <w:tc>
          <w:tcPr>
            <w:tcW w:type="dxa" w:w="2340"/>
          </w:tcPr>
          <w:p>
            <w:r>
              <w:t>14,3 %</w:t>
            </w:r>
          </w:p>
        </w:tc>
      </w:tr>
      <w:tr>
        <w:tc>
          <w:tcPr>
            <w:tcW w:type="dxa" w:w="2340"/>
          </w:tcPr>
          <w:p>
            <w:r>
              <w:t>E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 560.000.000</w:t>
            </w:r>
          </w:p>
        </w:tc>
        <w:tc>
          <w:tcPr>
            <w:tcW w:type="dxa" w:w="2340"/>
          </w:tcPr>
          <w:p>
            <w:r>
              <w:t>8,2 %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jc w:val="both"/>
      </w:pPr>
      <w:r>
        <w:rPr>
          <w:b/>
          <w:i w:val="0"/>
          <w:u w:val="none"/>
        </w:rPr>
        <w:t>Konsentrasi Risiko Tinggi per Tipe Partner</w:t>
      </w:r>
      <w:r>
        <w:rPr>
          <w:b w:val="0"/>
          <w:i w:val="0"/>
          <w:u w:val="none"/>
        </w:rPr>
        <w:br/>
        <w:t xml:space="preserve">- </w:t>
      </w:r>
      <w:r>
        <w:rPr>
          <w:b/>
          <w:i w:val="0"/>
          <w:u w:val="none"/>
        </w:rPr>
        <w:t>Swasta (Tech Startup)</w:t>
      </w:r>
      <w:r>
        <w:rPr>
          <w:b w:val="0"/>
          <w:i w:val="0"/>
          <w:u w:val="none"/>
        </w:rPr>
        <w:t>: 5 invoice (Rp 630 jt, skor 4,60) – 40 % nilai risiko tinggi.</w:t>
        <w:br/>
        <w:t xml:space="preserve">- </w:t>
      </w:r>
      <w:r>
        <w:rPr>
          <w:b/>
          <w:i w:val="0"/>
          <w:u w:val="none"/>
        </w:rPr>
        <w:t>Instansi Pemerintah</w:t>
      </w:r>
      <w:r>
        <w:rPr>
          <w:b w:val="0"/>
          <w:i w:val="0"/>
          <w:u w:val="none"/>
        </w:rPr>
        <w:t>: 1 invoice (Rp 250 jt, skor 4,00).</w:t>
        <w:br/>
        <w:t xml:space="preserve">- </w:t>
      </w:r>
      <w:r>
        <w:rPr>
          <w:b/>
          <w:i w:val="0"/>
          <w:u w:val="none"/>
        </w:rPr>
        <w:t>Universitas</w:t>
      </w:r>
      <w:r>
        <w:rPr>
          <w:b w:val="0"/>
          <w:i w:val="0"/>
          <w:u w:val="none"/>
        </w:rPr>
        <w:t>: 2 invoice (Rp 215 jt, skor 4,00).</w:t>
        <w:br/>
        <w:t xml:space="preserve">- </w:t>
      </w:r>
      <w:r>
        <w:rPr>
          <w:b/>
          <w:i w:val="0"/>
          <w:u w:val="none"/>
        </w:rPr>
        <w:t>Swasta (Corporate)</w:t>
      </w:r>
      <w:r>
        <w:rPr>
          <w:b w:val="0"/>
          <w:i w:val="0"/>
          <w:u w:val="none"/>
        </w:rPr>
        <w:t>: 1 invoice (Rp 165 jt, skor 5,00).</w:t>
        <w:br/>
        <w:t xml:space="preserve">- </w:t>
      </w:r>
      <w:r>
        <w:rPr>
          <w:b/>
          <w:i w:val="0"/>
          <w:u w:val="none"/>
        </w:rPr>
        <w:t>Pemerintahan Daerah</w:t>
      </w:r>
      <w:r>
        <w:rPr>
          <w:b w:val="0"/>
          <w:i w:val="0"/>
          <w:u w:val="none"/>
        </w:rPr>
        <w:t>: 1 invoice (Rp 145 jt, skor 4,00).</w:t>
      </w:r>
    </w:p>
    <w:p>
      <w:pPr>
        <w:jc w:val="both"/>
      </w:pPr>
      <w:r>
        <w:rPr>
          <w:b/>
          <w:i w:val="0"/>
          <w:u w:val="none"/>
        </w:rPr>
        <w:t>Layanan dengan Eksposur Risiko Tinggi</w:t>
      </w:r>
      <w:r>
        <w:rPr>
          <w:b w:val="0"/>
          <w:i w:val="0"/>
          <w:u w:val="none"/>
        </w:rPr>
        <w:br/>
        <w:t>- Konsultasi Deployment Local LLM (kelas E, Rp 180 jt, skor 5).</w:t>
        <w:br/>
        <w:t>- Consulting Data Governance (kelas E, Rp 165 jt, skor 5).</w:t>
        <w:br/>
        <w:t>- Advisory MLOps (kelas E, Rp 125 jt, skor 5).</w:t>
        <w:br/>
        <w:t>- Bootcamp Data Science (kelas E, Rp 220 jt, skor 4,5).</w:t>
        <w:br/>
        <w:t>- Bimtek AI Governance (kelas D, Rp 145 jt, skor 4).</w:t>
      </w:r>
    </w:p>
    <w:p>
      <w:pPr>
        <w:jc w:val="both"/>
      </w:pPr>
      <w:r>
        <w:rPr>
          <w:b/>
          <w:i w:val="0"/>
          <w:u w:val="none"/>
        </w:rPr>
        <w:t>Tren Ringkas (Q2 2026 → Q3 2026)</w:t>
      </w:r>
      <w:r>
        <w:rPr>
          <w:b w:val="0"/>
          <w:i w:val="0"/>
          <w:u w:val="none"/>
        </w:rPr>
        <w:br/>
        <w:t>- Nilai invoice menurun marginal (‑0,6 %).</w:t>
        <w:br/>
        <w:t>- Risiko rata‑rata menurun (2,67 → 2,56).</w:t>
        <w:br/>
        <w:t>- Proporsi invoice terlambat tetap tinggi (&gt;80 %).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Proyeksi 1‑2 Kuartal (Skenario)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Cash‑In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 5.682.560.000</w:t>
            </w:r>
          </w:p>
        </w:tc>
        <w:tc>
          <w:tcPr>
            <w:tcW w:type="dxa" w:w="2340"/>
          </w:tcPr>
          <w:p>
            <w:r>
              <w:t>Rp 1.280.440.000</w:t>
            </w:r>
          </w:p>
        </w:tc>
        <w:tc>
          <w:tcPr>
            <w:tcW w:type="dxa" w:w="2340"/>
          </w:tcPr>
          <w:p>
            <w:r>
              <w:t>Perbaikan approval, dokumen lengkap, dan penagihan prioritas berjalan cepat.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 5.140.450.000</w:t>
            </w:r>
          </w:p>
        </w:tc>
        <w:tc>
          <w:tcPr>
            <w:tcW w:type="dxa" w:w="2340"/>
          </w:tcPr>
          <w:p>
            <w:r>
              <w:t>Rp 1.822.550.000</w:t>
            </w:r>
          </w:p>
        </w:tc>
        <w:tc>
          <w:tcPr>
            <w:tcW w:type="dxa" w:w="2340"/>
          </w:tcPr>
          <w:p>
            <w:r>
              <w:t>Pola historis tetap; koleksi sesuai probabilitas kelas saat ini.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 4.466.650.000</w:t>
            </w:r>
          </w:p>
        </w:tc>
        <w:tc>
          <w:tcPr>
            <w:tcW w:type="dxa" w:w="2340"/>
          </w:tcPr>
          <w:p>
            <w:r>
              <w:t>Rp 2.496.350.000</w:t>
            </w:r>
          </w:p>
        </w:tc>
        <w:tc>
          <w:tcPr>
            <w:tcW w:type="dxa" w:w="2340"/>
          </w:tcPr>
          <w:p>
            <w:r>
              <w:t>Siklus anggaran, likuiditas, atau dispute memburuk; lebih banyak invoice beralih ke kelas D/E.</w:t>
            </w:r>
          </w:p>
        </w:tc>
      </w:tr>
    </w:tbl>
    <w:p>
      <w:pPr>
        <w:jc w:val="both"/>
      </w:pPr>
      <w:r>
        <w:rPr>
          <w:b/>
          <w:i w:val="0"/>
          <w:u w:val="none"/>
        </w:rPr>
        <w:t>Implikasi Manajemen</w:t>
      </w:r>
      <w:r>
        <w:rPr>
          <w:b w:val="0"/>
          <w:i w:val="0"/>
          <w:u w:val="none"/>
        </w:rPr>
        <w:br/>
        <w:t xml:space="preserve">1. </w:t>
      </w:r>
      <w:r>
        <w:rPr>
          <w:b/>
          <w:i w:val="0"/>
          <w:u w:val="none"/>
        </w:rPr>
        <w:t>Kesenjangan cash‑in (≈ Rp 1,8 miliar)</w:t>
      </w:r>
      <w:r>
        <w:rPr>
          <w:b w:val="0"/>
          <w:i w:val="0"/>
          <w:u w:val="none"/>
        </w:rPr>
        <w:t xml:space="preserve"> masih signifikan; fokus pada invoice kelas D/E dapat menutup ≈ 30 % gap.</w:t>
        <w:br/>
        <w:t xml:space="preserve">2. </w:t>
      </w:r>
      <w:r>
        <w:rPr>
          <w:b/>
          <w:i w:val="0"/>
          <w:u w:val="none"/>
        </w:rPr>
        <w:t>Penurunan nilai invoice Q3 2026</w:t>
      </w:r>
      <w:r>
        <w:rPr>
          <w:b w:val="0"/>
          <w:i w:val="0"/>
          <w:u w:val="none"/>
        </w:rPr>
        <w:t xml:space="preserve"> menandakan potensi penurunan pendapatan jika tidak diimbangi dengan percepatan koleksi.</w:t>
        <w:br/>
        <w:t xml:space="preserve">3. </w:t>
      </w:r>
      <w:r>
        <w:rPr>
          <w:b/>
          <w:i w:val="0"/>
          <w:u w:val="none"/>
        </w:rPr>
        <w:t>Risiko konsentrasi pada startup teknologi</w:t>
      </w:r>
      <w:r>
        <w:rPr>
          <w:b w:val="0"/>
          <w:i w:val="0"/>
          <w:u w:val="none"/>
        </w:rPr>
        <w:t xml:space="preserve"> – 40 % nilai risiko tinggi berasal dari segmen ini; memerlukan monitoring intensif.</w:t>
      </w:r>
    </w:p>
    <w:p>
      <w:pPr>
        <w:jc w:val="both"/>
      </w:pPr>
      <w:r>
        <w:rPr>
          <w:b/>
          <w:i w:val="0"/>
          <w:u w:val="none"/>
        </w:rPr>
        <w:t>Rekomendasi Tindakan Prioritas (30 hari ke depan)</w:t>
      </w:r>
      <w:r>
        <w:rPr>
          <w:b w:val="0"/>
          <w:i w:val="0"/>
          <w:u w:val="none"/>
        </w:rPr>
        <w:br/>
        <w:t xml:space="preserve">1. </w:t>
      </w:r>
      <w:r>
        <w:rPr>
          <w:b/>
          <w:i w:val="0"/>
          <w:u w:val="none"/>
        </w:rPr>
        <w:t>Negosiasi termin &amp; komitmen tertulis</w:t>
      </w:r>
      <w:r>
        <w:rPr>
          <w:b w:val="0"/>
          <w:i w:val="0"/>
          <w:u w:val="none"/>
        </w:rPr>
        <w:t xml:space="preserve"> untuk semua invoice kelas E (total Rp 560 jt).</w:t>
        <w:br/>
        <w:t xml:space="preserve">2. </w:t>
      </w:r>
      <w:r>
        <w:rPr>
          <w:b/>
          <w:i w:val="0"/>
          <w:u w:val="none"/>
        </w:rPr>
        <w:t>Resolusi dispute</w:t>
      </w:r>
      <w:r>
        <w:rPr>
          <w:b w:val="0"/>
          <w:i w:val="0"/>
          <w:u w:val="none"/>
        </w:rPr>
        <w:t xml:space="preserve"> pada invoice Consulting Data Governance (Rp 165 jt) – libatkan Project Lead &amp; Finance Manager.</w:t>
        <w:br/>
        <w:t xml:space="preserve">3. </w:t>
      </w:r>
      <w:r>
        <w:rPr>
          <w:b/>
          <w:i w:val="0"/>
          <w:u w:val="none"/>
        </w:rPr>
        <w:t>Validasi anggaran</w:t>
      </w:r>
      <w:r>
        <w:rPr>
          <w:b w:val="0"/>
          <w:i w:val="0"/>
          <w:u w:val="none"/>
        </w:rPr>
        <w:t xml:space="preserve"> untuk invoice Instansi Pemerintah (Rp 250 jt) dan Pemerintahan Daerah (Rp 145 jt).</w:t>
        <w:br/>
        <w:t xml:space="preserve">4. </w:t>
      </w:r>
      <w:r>
        <w:rPr>
          <w:b/>
          <w:i w:val="0"/>
          <w:u w:val="none"/>
        </w:rPr>
        <w:t>Pengiriman dokumen pendukung</w:t>
      </w:r>
      <w:r>
        <w:rPr>
          <w:b w:val="0"/>
          <w:i w:val="0"/>
          <w:u w:val="none"/>
        </w:rPr>
        <w:t xml:space="preserve"> (Bast, PO, rekap) untuk invoice yang tertahan karena administrasi (≈ 20 catatan).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Diagnostik</w:t>
      </w:r>
    </w:p>
    <w:p>
      <w:pPr>
        <w:pStyle w:val="Heading3"/>
        <w:jc w:val="left"/>
      </w:pPr>
      <w:r>
        <w:rPr>
          <w:b w:val="0"/>
          <w:i w:val="0"/>
          <w:u w:val="none"/>
        </w:rPr>
        <w:t>Bukti Internal yang Mewakili</w:t>
      </w:r>
    </w:p>
    <w:p>
      <w:pPr>
        <w:pStyle w:val="ListBullet"/>
        <w:jc w:val="left"/>
      </w:pPr>
      <w:r>
        <w:rPr>
          <w:b/>
          <w:i w:val="0"/>
          <w:u w:val="none"/>
        </w:rPr>
        <w:t>Invoice BUMN (Simulasi BCP/DRP, Rp 190 jt)</w:t>
      </w:r>
      <w:r>
        <w:rPr>
          <w:b w:val="0"/>
          <w:i w:val="0"/>
          <w:u w:val="none"/>
        </w:rPr>
        <w:t xml:space="preserve"> ditahan hingga </w:t>
      </w:r>
      <w:r>
        <w:rPr>
          <w:b w:val="0"/>
          <w:i/>
          <w:u w:val="none"/>
        </w:rPr>
        <w:t>berita acara final</w:t>
      </w:r>
      <w:r>
        <w:rPr>
          <w:b w:val="0"/>
          <w:i w:val="0"/>
          <w:u w:val="none"/>
        </w:rPr>
        <w:t xml:space="preserve"> ditandatangani semua pihak – menandakan </w:t>
      </w:r>
      <w:r>
        <w:rPr>
          <w:b/>
          <w:i w:val="0"/>
          <w:u w:val="none"/>
        </w:rPr>
        <w:t>ketergantungan pada dokumen akhir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Consulting Data Governance (Rp 165 jt, kelas E)</w:t>
      </w:r>
      <w:r>
        <w:rPr>
          <w:b w:val="0"/>
          <w:i w:val="0"/>
          <w:u w:val="none"/>
        </w:rPr>
        <w:t xml:space="preserve"> mengalami </w:t>
      </w:r>
      <w:r>
        <w:rPr>
          <w:b w:val="0"/>
          <w:i/>
          <w:u w:val="none"/>
        </w:rPr>
        <w:t>sengketa ruang lingkup</w:t>
      </w:r>
      <w:r>
        <w:rPr>
          <w:b w:val="0"/>
          <w:i w:val="0"/>
          <w:u w:val="none"/>
        </w:rPr>
        <w:t>; procurement menahan pembayaran hingga klarifikasi selesai.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**Bimtek AI Governance (Rp 145 jt,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Konteks OSINT Pendukung</w:t>
      </w:r>
    </w:p>
    <w:p>
      <w:pPr>
        <w:jc w:val="both"/>
      </w:pPr>
      <w:r>
        <w:rPr>
          <w:b w:val="0"/>
          <w:i w:val="0"/>
          <w:u w:val="none"/>
        </w:rPr>
        <w:t>[Siklus Anggaran Pemerintah]</w:t>
        <w:br/>
        <w:t>1. [PDF] PROSPEKTUS - BRI (22 Sept 2021)</w:t>
        <w:br/>
        <w:t xml:space="preserve">   Inti: RISIKO UTAMA YANG DIHADAPI INVESTOR ADALAH RISIKO HARGA DAN LIKUIDITAS SAHAM PERSEROAN YANG DIPENGARUHI OLEH KONDISI PASAR MODAL INDONESIA.</w:t>
        <w:br/>
        <w:t xml:space="preserve">   Sumber: ir-bri.com</w:t>
        <w:br/>
        <w:t>2. 3 Modul Himpunan | PDF - Scribd</w:t>
        <w:br/>
        <w:t xml:space="preserve">   Inti: Dokumen ini berisi abstrak dari presentasi yang disampaikan pada Seminar Nasional Ilmu Sosial dan Teknologi (SNISTEK) 1 yang diselengrkan oleh Universitas ...</w:t>
        <w:br/>
        <w:t xml:space="preserve">   Sumber: scribd.com</w:t>
        <w:br/>
        <w:t>3. https://huggingface.co/zaenalium/MicroLlama-Indo-5...</w:t>
        <w:br/>
        <w:t xml:space="preserve">   Inti: ... Indonesia": 175, + "end": 176, + "idak": 177, + "alah": 178, + "·E": 179, + ... depan": 818, + "·15": 819, + "·sampai": 820, + "·mencapai": 821, + ...</w:t>
        <w:br/>
        <w:t xml:space="preserve">   Sumber: huggingface.co</w:t>
        <w:br/>
        <w:t>4. Bisnis Indonesia 7 September 2022 - PubHTML5 (7 Sept 2022)</w:t>
        <w:br/>
        <w:t xml:space="preserve">   Inti: “Maka 2—3 tahun ke depan BRI tidak perlu menambah modal. Justru BRI perlu mengoptimalkan modal dengan cara ber- tumbuh,” kata Sunarso dalam ...</w:t>
        <w:br/>
        <w:t xml:space="preserve">   Sumber: pubhtml5.com</w:t>
      </w:r>
    </w:p>
    <w:p>
      <w:pPr>
        <w:jc w:val="both"/>
      </w:pPr>
      <w:r>
        <w:rPr>
          <w:b w:val="0"/>
          <w:i w:val="0"/>
          <w:u w:val="none"/>
        </w:rPr>
        <w:t>[Perilaku Pembayaran BUMN dan Korporasi]</w:t>
        <w:br/>
        <w:t>1. [PDF] keputusan menteri keuangan repulik indonesia - DJPb</w:t>
        <w:br/>
        <w:t xml:space="preserve">   Inti: Sebagai pengelola dan pengurus dana negara, hampir semua Kementerian. Keuangan di seluruh dunia memiliki peran penting dalam mendukung pembangunan nasional dan ...</w:t>
        <w:br/>
        <w:t xml:space="preserve">   Sumber: djpb.kemenkeu.go.id</w:t>
        <w:br/>
        <w:t>2. [PDF] I'RESIDEN REPUBLIK INDONESIA - Peraturan BPK</w:t>
        <w:br/>
        <w:t xml:space="preserve">   Inti: Dalam rangka melaporkan keberhasilan Tahun 2022, Kementerian Keuangan telah menetapkan 6 sasaran strategis dengan 21 indikator kinerja.</w:t>
        <w:br/>
        <w:t xml:space="preserve">   Sumber: peraturan.bpk.go.id</w:t>
        <w:br/>
        <w:t>3. [PDF] PT CHANDRA ASRI PETROCHEMICAL TBK - IDX (23 Aug 2022)</w:t>
        <w:br/>
        <w:t xml:space="preserve">   Inti: RISIKO YANG MUNGKIN DIHADAPI INVESTOR PEMBELI OBLIGASI ADALAH TIDAK LIKUIDNYA OBLIGASI YANG DITAWARKAN DALAM PENAWARAN UMUM. BERKELANJUTAN INI ...</w:t>
        <w:br/>
        <w:t xml:space="preserve">   Sumber: idx.co.id</w:t>
        <w:br/>
        <w:t>4. [PDF] Laporan Tahunan Maybank Indonesia 2023 (31 Mar 2024)</w:t>
        <w:br/>
        <w:t xml:space="preserve">   Inti: Bank berupaya untuk beradaptasi secara cepat dalam mengelola operasional perbankan untuk meminimalkan dampak penurunan aktivitas ekonomi ...</w:t>
        <w:br/>
        <w:t xml:space="preserve">   Sumber: maybank.co.id</w:t>
      </w:r>
    </w:p>
    <w:p>
      <w:pPr>
        <w:jc w:val="both"/>
      </w:pPr>
      <w:r>
        <w:rPr>
          <w:b w:val="0"/>
          <w:i w:val="0"/>
          <w:u w:val="none"/>
        </w:rPr>
        <w:t>[Likuiditas dan Piutang Bisnis]</w:t>
        <w:br/>
        <w:t>1. Elviana Novita e - 18.1.02.01.0012 (Jawaban) 2a Akuntansi (Alk)</w:t>
        <w:br/>
        <w:t xml:space="preserve">   Inti: Karena kalau cash flow perusahaan terjamin stabil karena kursnya sudah terkunci, maka risiko kecil. Sehingga manajemen fokus pada operation dan marketing ...</w:t>
        <w:br/>
        <w:t xml:space="preserve">   Sumber: id.scribd.com</w:t>
        <w:br/>
        <w:t>2. [PDF] Daftar Isi - DJPb - Kementerian Keuangan (25 Jan 2016)</w:t>
        <w:br/>
        <w:t xml:space="preserve">   Inti: Pelaksanaan rekomendasi perlu dilakukan secara bertahap dari waktu ke waktu, sebagian karena mereka membangun satu sama lain, namun juga ...</w:t>
        <w:br/>
        <w:t xml:space="preserve">   Sumber: djpb.kemenkeu.go.id</w:t>
        <w:br/>
        <w:t>3. [PDF] Dr. ML. Denny Tewu - Repositori Universitas Kristen Indonesia (28 Oct 2013)</w:t>
        <w:br/>
        <w:t xml:space="preserve">   Inti: Contoh : timbulnya kredit macet, persentase piutang meningkat. 3) Risiko likuiditas: risiko karena ketidakmampuan memenuhi kebutuhan kas.</w:t>
        <w:br/>
        <w:t xml:space="preserve">   Sumber: repository.uki.ac.id</w:t>
        <w:br/>
        <w:t>4. [PDF] MANAJEMEN - Digital Library Universitas STEKOM</w:t>
        <w:br/>
        <w:t xml:space="preserve">   Inti: Setiap sisipan kotak membahas strategi perusahaan yang berhasil di tengah resesi terburuk dalam hampir 30 tahun, penurunan pasar saham terbesar sejak 1937, ...</w:t>
        <w:br/>
        <w:t xml:space="preserve">   Sumber: digilib.stekom.ac.id</w:t>
      </w:r>
    </w:p>
    <w:p>
      <w:pPr>
        <w:jc w:val="both"/>
      </w:pPr>
      <w:r>
        <w:rPr>
          <w:b w:val="0"/>
          <w:i w:val="0"/>
          <w:u w:val="none"/>
        </w:rPr>
        <w:t>[Regulasi Pengadaan dan Kontrak]</w:t>
        <w:br/>
        <w:t>1. [PDF] keputusan menteri keuangan repulik indonesia - DJPb</w:t>
        <w:br/>
        <w:t xml:space="preserve">   Inti: Menimbang : a. bahwa dalam rangka melaksanakan Keputusan Menteri. Keuangan Nomor 186/KMK.01/2013 tentang Program. Transformasi Kelembagaan Kementerian ...</w:t>
        <w:br/>
        <w:t xml:space="preserve">   Sumber: djpb.kemenkeu.go.id</w:t>
        <w:br/>
        <w:t>2. [PDF] I'RESIDEN REPUBLIK INDONESIA - Peraturan BPK</w:t>
        <w:br/>
        <w:t xml:space="preserve">   Inti: Dalam rangka melaporkan keberhasilan Tahun 2022, Kementerian Keuangan telah menetapkan 6 sasaran strategis dengan 21 indikator kinerja.</w:t>
        <w:br/>
        <w:t xml:space="preserve">   Sumber: peraturan.bpk.go.id</w:t>
        <w:br/>
        <w:t>3. [PDF] prospektus-smi-obligasi-berkelanjutan-iii.pdf (30 Oct 2024)</w:t>
        <w:br/>
        <w:t xml:space="preserve">   Inti: PROSPEKTUS INI PENTING DAN PERLU MENDAPAT PERHATIAN SEGERA. APABILA TERDAPAT KERAGUAN PADA TINDAKAN YANG AKAN DIAMBIL, SEBAIKNYA BERKONSULTASI ...</w:t>
        <w:br/>
        <w:t xml:space="preserve">   Sumber: ptsmi.co.id</w:t>
        <w:br/>
        <w:t>4. [PDF] keberlanjutan tema - MNC Financial Services (31 May 2022)</w:t>
        <w:br/>
        <w:t xml:space="preserve">   Inti: Laporan Tahunan ini memuat pernyataan operasional, keuangan, proyeksi dan rencana, penerapan strategi sebagai pernyataan ke depan. ... Indonesia ...</w:t>
        <w:br/>
        <w:t xml:space="preserve">   Sumber: mncfinancialservices.com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Prediktif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Dasar Proyeksi</w:t>
      </w:r>
    </w:p>
    <w:p>
      <w:pPr>
        <w:pStyle w:val="ListBullet"/>
        <w:jc w:val="left"/>
      </w:pPr>
      <w:r>
        <w:rPr>
          <w:b/>
          <w:i w:val="0"/>
          <w:u w:val="none"/>
        </w:rPr>
        <w:t>Portofolio</w:t>
      </w:r>
      <w:r>
        <w:rPr>
          <w:b w:val="0"/>
          <w:i w:val="0"/>
          <w:u w:val="none"/>
        </w:rPr>
        <w:t xml:space="preserve">: 49 invoice dengan nilai total </w:t>
      </w:r>
      <w:r>
        <w:rPr>
          <w:b/>
          <w:i w:val="0"/>
          <w:u w:val="none"/>
        </w:rPr>
        <w:t>Rp 6.963 miliar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Kondisi cash‑in saat ini</w:t>
      </w:r>
      <w:r>
        <w:rPr>
          <w:b w:val="0"/>
          <w:i w:val="0"/>
          <w:u w:val="none"/>
        </w:rPr>
        <w:t xml:space="preserve">: estimasi risk‑adjusted </w:t>
      </w:r>
      <w:r>
        <w:rPr>
          <w:b/>
          <w:i w:val="0"/>
          <w:u w:val="none"/>
        </w:rPr>
        <w:t>Rp 5.140,45 miliar</w:t>
      </w:r>
      <w:r>
        <w:rPr>
          <w:b w:val="0"/>
          <w:i w:val="0"/>
          <w:u w:val="none"/>
        </w:rPr>
        <w:t xml:space="preserve"> (73,8 % dari nilai invoice). Gap </w:t>
      </w:r>
      <w:r>
        <w:rPr>
          <w:b/>
          <w:i w:val="0"/>
          <w:u w:val="none"/>
        </w:rPr>
        <w:t>Rp 1.822,55 miliar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Kualitas koleksi</w:t>
      </w:r>
      <w:r>
        <w:rPr>
          <w:b w:val="0"/>
          <w:i w:val="0"/>
          <w:u w:val="none"/>
        </w:rPr>
        <w:t xml:space="preserve">: 81,6 % invoice terlambat (nilai Rp 5,650 miliar). 22,4 % berada di kelas D/E (nilai Rp 1,547 miliar) dengan skor risiko rata‑rata </w:t>
      </w:r>
      <w:r>
        <w:rPr>
          <w:b/>
          <w:i w:val="0"/>
          <w:u w:val="none"/>
        </w:rPr>
        <w:t>2,63/5</w:t>
      </w:r>
      <w:r>
        <w:rPr>
          <w:b w:val="0"/>
          <w:i w:val="0"/>
          <w:u w:val="none"/>
        </w:rPr>
        <w:t>.</w:t>
      </w:r>
    </w:p>
    <w:p>
      <w:pPr>
        <w:pStyle w:val="ListBullet"/>
        <w:jc w:val="left"/>
      </w:pPr>
      <w:r>
        <w:rPr>
          <w:b/>
          <w:i w:val="0"/>
          <w:u w:val="none"/>
        </w:rPr>
        <w:t>Trend kuartalan</w:t>
      </w:r>
      <w:r>
        <w:rPr>
          <w:b w:val="0"/>
          <w:i w:val="0"/>
          <w:u w:val="none"/>
        </w:rPr>
        <w:t>: skor risiko menurun dari 2,67 (Q2‑2026) menjadi 2,56 (Q3‑2026) – indikasi perbaikan koleksi, meski nilai invoice turun 0,6 % dan tidak ada penambahan invoice.</w:t>
      </w:r>
    </w:p>
    <w:p>
      <w:pPr>
        <w:jc w:val="both"/>
      </w:pPr>
      <w:r>
        <w:rPr>
          <w:b w:val="0"/>
          <w:i w:val="0"/>
          <w:u w:val="none"/>
        </w:rPr>
        <w:t>Proyeksi 1‑2 kuartal ke depan menggunakan tiga skenario yang telah disepakati (Upside, Base, Downside) dan mengasumsikan bahwa pola historis bottleneck (dokumen, approval, siklus anggaran, likuiditas, sengketa ruang lingkup) tetap berlaku.</w:t>
      </w:r>
    </w:p>
    <w:p>
      <w:pPr>
        <w:pStyle w:val="Heading3"/>
        <w:jc w:val="left"/>
      </w:pPr>
      <w:r>
        <w:rPr>
          <w:b w:val="0"/>
          <w:i w:val="0"/>
          <w:u w:val="none"/>
        </w:rPr>
        <w:t>Skenario 1‑2 Kuartal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Realisasi Cash‑In (Rp)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 (Rp)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5.682,56 miliar</w:t>
            </w:r>
          </w:p>
        </w:tc>
        <w:tc>
          <w:tcPr>
            <w:tcW w:type="dxa" w:w="2340"/>
          </w:tcPr>
          <w:p>
            <w:r>
              <w:t>1.280,44 miliar</w:t>
            </w:r>
          </w:p>
        </w:tc>
        <w:tc>
          <w:tcPr>
            <w:tcW w:type="dxa" w:w="2340"/>
          </w:tcPr>
          <w:p>
            <w:r>
              <w:t>Terjadi bila semua isu dokumen &amp; approval terselesaikan dalam 30 hari, dan negosiasi termin berhasil pada akun‑akun prioritas.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5.140,45 miliar</w:t>
            </w:r>
          </w:p>
        </w:tc>
        <w:tc>
          <w:tcPr>
            <w:tcW w:type="dxa" w:w="2340"/>
          </w:tcPr>
          <w:p>
            <w:r>
              <w:t>1.822,55 miliar</w:t>
            </w:r>
          </w:p>
        </w:tc>
        <w:tc>
          <w:tcPr>
            <w:tcW w:type="dxa" w:w="2340"/>
          </w:tcPr>
          <w:p>
            <w:r>
              <w:t>Pola koleksi historis berlanjut; sebagian besar invoice D/E tetap tertunda, namun skor risiko yang menurun memberi ruang perbaikan marginal.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4.466,65 miliar</w:t>
            </w:r>
          </w:p>
        </w:tc>
        <w:tc>
          <w:tcPr>
            <w:tcW w:type="dxa" w:w="2340"/>
          </w:tcPr>
          <w:p>
            <w:r>
              <w:t>2.496,35 miliar</w:t>
            </w:r>
          </w:p>
        </w:tc>
        <w:tc>
          <w:tcPr>
            <w:tcW w:type="dxa" w:w="2340"/>
          </w:tcPr>
          <w:p>
            <w:r>
              <w:t>Memburuknya likuiditas pelanggan atau penundaan anggaran pemerintah meningkatkan proporsi invoice kelas D/E, menambah dispute ruang lingkup.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terhadap Rencana Kas</w:t>
      </w:r>
    </w:p>
    <w:p>
      <w:pPr>
        <w:pStyle w:val="ListNumber"/>
        <w:jc w:val="left"/>
      </w:pPr>
      <w:r>
        <w:rPr>
          <w:b/>
          <w:i w:val="0"/>
          <w:u w:val="none"/>
        </w:rPr>
        <w:t>Cash‑flow operasional</w:t>
      </w:r>
      <w:r>
        <w:rPr>
          <w:b w:val="0"/>
          <w:i w:val="0"/>
          <w:u w:val="none"/>
        </w:rPr>
        <w:t xml:space="preserve">: Pada skenario Base, cash‑in yang tersedia menutupi hanya </w:t>
      </w:r>
      <w:r>
        <w:rPr>
          <w:b/>
          <w:i w:val="0"/>
          <w:u w:val="none"/>
        </w:rPr>
        <w:t>73,8 %</w:t>
      </w:r>
      <w:r>
        <w:rPr>
          <w:b w:val="0"/>
          <w:i w:val="0"/>
          <w:u w:val="none"/>
        </w:rPr>
        <w:t xml:space="preserve"> kebutuhan operasional; tambahan </w:t>
      </w:r>
      <w:r>
        <w:rPr>
          <w:b/>
          <w:i w:val="0"/>
          <w:u w:val="none"/>
        </w:rPr>
        <w:t>Rp 1,822 miliar</w:t>
      </w:r>
      <w:r>
        <w:rPr>
          <w:b w:val="0"/>
          <w:i w:val="0"/>
          <w:u w:val="none"/>
        </w:rPr>
        <w:t xml:space="preserve"> harus dibiayai lewat likuiditas internal atau fasilitas kredit jangka pendek.</w:t>
      </w:r>
    </w:p>
    <w:p>
      <w:pPr>
        <w:pStyle w:val="ListNumber"/>
        <w:jc w:val="left"/>
      </w:pPr>
      <w:r>
        <w:rPr>
          <w:b/>
          <w:i w:val="0"/>
          <w:u w:val="none"/>
        </w:rPr>
        <w:t>Kebutuhan modal kerja</w:t>
      </w:r>
      <w:r>
        <w:rPr>
          <w:b w:val="0"/>
          <w:i w:val="0"/>
          <w:u w:val="none"/>
        </w:rPr>
        <w:t xml:space="preserve">: Jika turun ke Downside, defisit naik menjadi </w:t>
      </w:r>
      <w:r>
        <w:rPr>
          <w:b/>
          <w:i w:val="0"/>
          <w:u w:val="none"/>
        </w:rPr>
        <w:t>≈ 36 %</w:t>
      </w:r>
      <w:r>
        <w:rPr>
          <w:b w:val="0"/>
          <w:i w:val="0"/>
          <w:u w:val="none"/>
        </w:rPr>
        <w:t xml:space="preserve"> total invoice, menuntut peningkatan line of credit atau penangguhan proyek non‑strategis.</w:t>
      </w:r>
    </w:p>
    <w:p>
      <w:pPr>
        <w:pStyle w:val="ListNumber"/>
        <w:jc w:val="left"/>
      </w:pPr>
      <w:r>
        <w:rPr>
          <w:b/>
          <w:i w:val="0"/>
          <w:u w:val="none"/>
        </w:rPr>
        <w:t>Pengawasan risiko</w:t>
      </w:r>
      <w:r>
        <w:rPr>
          <w:b w:val="0"/>
          <w:i w:val="0"/>
          <w:u w:val="none"/>
        </w:rPr>
        <w:t>: Segmen dengan konsentrasi nilai tinggi &amp; skor risiko ≥ 4,0 (Tech Startup, Instansi Pemerintah, Universitas, Swasta Corporate, Pemerintahan Daerah) harus dipantau intensif; potensi pergeseran ke kelas D/E dapat menggerakkan realisasi cash‑in ke arah Downside.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Rekomendasi Preskriptif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Prinsip Tindakan</w:t>
      </w:r>
    </w:p>
    <w:p>
      <w:pPr>
        <w:pStyle w:val="ListNumber"/>
        <w:jc w:val="left"/>
      </w:pPr>
      <w:r>
        <w:rPr>
          <w:b/>
          <w:i w:val="0"/>
          <w:u w:val="none"/>
        </w:rPr>
        <w:t>Prioritaskan koleksi pada akun D/E dengan nilai &gt; Rp 100 juta</w:t>
      </w:r>
      <w:r>
        <w:rPr>
          <w:b w:val="0"/>
          <w:i w:val="0"/>
          <w:u w:val="none"/>
        </w:rPr>
        <w:t xml:space="preserve"> – dampak langsung pada gap cash‑in.</w:t>
      </w:r>
    </w:p>
    <w:p>
      <w:pPr>
        <w:pStyle w:val="ListNumber"/>
        <w:jc w:val="left"/>
      </w:pPr>
      <w:r>
        <w:rPr>
          <w:b/>
          <w:i w:val="0"/>
          <w:u w:val="none"/>
        </w:rPr>
        <w:t>Standardisasi proses penyelesaian dokumen &amp; persetujuan</w:t>
      </w:r>
      <w:r>
        <w:rPr>
          <w:b w:val="0"/>
          <w:i w:val="0"/>
          <w:u w:val="none"/>
        </w:rPr>
        <w:t xml:space="preserve"> – gunakan checklist internal untuk mengurangi siklus approval rata‑rata sebesar 20 %.</w:t>
      </w:r>
    </w:p>
    <w:p>
      <w:pPr>
        <w:pStyle w:val="ListNumber"/>
        <w:jc w:val="left"/>
      </w:pPr>
      <w:r>
        <w:rPr>
          <w:b/>
          <w:i w:val="0"/>
          <w:u w:val="none"/>
        </w:rPr>
        <w:t>Negosiasi termin &amp; skema pembayaran</w:t>
      </w:r>
      <w:r>
        <w:rPr>
          <w:b w:val="0"/>
          <w:i w:val="0"/>
          <w:u w:val="none"/>
        </w:rPr>
        <w:t xml:space="preserve"> khusus untuk partner dengan likuiditas terbatas (Tech Startup).</w:t>
      </w:r>
    </w:p>
    <w:p>
      <w:pPr>
        <w:pStyle w:val="ListNumber"/>
        <w:jc w:val="left"/>
      </w:pPr>
      <w:r>
        <w:rPr>
          <w:b/>
          <w:i w:val="0"/>
          <w:u w:val="none"/>
        </w:rPr>
        <w:t>Eskalasi proaktif</w:t>
      </w:r>
      <w:r>
        <w:rPr>
          <w:b w:val="0"/>
          <w:i w:val="0"/>
          <w:u w:val="none"/>
        </w:rPr>
        <w:t xml:space="preserve"> pada invoice yang terindikasi siklus anggaran (Instansi Pemerintah &amp; Pemerintahan Daerah) sebelum cut‑off fiskal.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Prasyarat Implementasi</w:t>
      </w:r>
    </w:p>
    <w:p>
      <w:pPr>
        <w:pStyle w:val="ListBullet"/>
        <w:jc w:val="left"/>
      </w:pPr>
      <w:r>
        <w:rPr>
          <w:b/>
          <w:i w:val="0"/>
          <w:u w:val="none"/>
        </w:rPr>
        <w:t>Data akurat</w:t>
      </w:r>
      <w:r>
        <w:rPr>
          <w:b w:val="0"/>
          <w:i w:val="0"/>
          <w:u w:val="none"/>
        </w:rPr>
        <w:t>: Update aging report harian dan verifikasi skor risiko per invoice (sumber: sistem ERP + catatan internal).</w:t>
      </w:r>
    </w:p>
    <w:p>
      <w:pPr>
        <w:pStyle w:val="ListBullet"/>
        <w:jc w:val="left"/>
      </w:pPr>
      <w:r>
        <w:rPr>
          <w:b/>
          <w:i w:val="0"/>
          <w:u w:val="none"/>
        </w:rPr>
        <w:t>Dokumentasi</w:t>
      </w:r>
      <w:r>
        <w:rPr>
          <w:b w:val="0"/>
          <w:i w:val="0"/>
          <w:u w:val="none"/>
        </w:rPr>
        <w:t>: Persiapkan “Letter of Commitment” (LoC) untuk setiap partner D/E, mencakup tanggal pembayaran dan konsekuensi denda.</w:t>
      </w:r>
    </w:p>
    <w:p>
      <w:pPr>
        <w:pStyle w:val="ListBullet"/>
        <w:jc w:val="left"/>
      </w:pPr>
      <w:r>
        <w:rPr>
          <w:b/>
          <w:i w:val="0"/>
          <w:u w:val="none"/>
        </w:rPr>
        <w:t>Otorisasi</w:t>
      </w:r>
      <w:r>
        <w:rPr>
          <w:b w:val="0"/>
          <w:i w:val="0"/>
          <w:u w:val="none"/>
        </w:rPr>
        <w:t>: Manajemen harus menyetujui batas eskalasi (mis. otorisasi senior finance untuk mengirimkan surat peringatan legal).</w:t>
      </w:r>
    </w:p>
    <w:p>
      <w:pPr>
        <w:pStyle w:val="ListBullet"/>
        <w:jc w:val="left"/>
      </w:pPr>
      <w:r>
        <w:rPr>
          <w:b/>
          <w:i w:val="0"/>
          <w:u w:val="none"/>
        </w:rPr>
        <w:t>Sumber daya</w:t>
      </w:r>
      <w:r>
        <w:rPr>
          <w:b w:val="0"/>
          <w:i w:val="0"/>
          <w:u w:val="none"/>
        </w:rPr>
        <w:t>: Alokasikan 1 FTE Collection Analyst dan 0,5 FTE Legal Support untuk 30 hari pertama.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Kesiapan Pelaksanaan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Tindakan Selanjutnya</w:t>
            </w:r>
          </w:p>
        </w:tc>
      </w:tr>
      <w:tr>
        <w:tc>
          <w:tcPr>
            <w:tcW w:type="dxa" w:w="3120"/>
          </w:tcPr>
          <w:p>
            <w:r>
              <w:t>Data &amp; Sistem</w:t>
            </w:r>
          </w:p>
        </w:tc>
        <w:tc>
          <w:tcPr>
            <w:tcW w:type="dxa" w:w="3120"/>
          </w:tcPr>
          <w:p>
            <w:r>
              <w:t>Siap (ERP terintegrasi, data 49 invoice lengkap)</w:t>
            </w:r>
          </w:p>
        </w:tc>
        <w:tc>
          <w:tcPr>
            <w:tcW w:type="dxa" w:w="3120"/>
          </w:tcPr>
          <w:p>
            <w:r>
              <w:t>Jalankan refresh data tiap pagi.</w:t>
            </w:r>
          </w:p>
        </w:tc>
      </w:tr>
      <w:tr>
        <w:tc>
          <w:tcPr>
            <w:tcW w:type="dxa" w:w="3120"/>
          </w:tcPr>
          <w:p>
            <w:r>
              <w:t>Tim Koleksi</w:t>
            </w:r>
          </w:p>
        </w:tc>
        <w:tc>
          <w:tcPr>
            <w:tcW w:type="dxa" w:w="3120"/>
          </w:tcPr>
          <w:p>
            <w:r>
              <w:t>70 % terisi (Finance Manager &amp; 2 Account Manager aktif)</w:t>
            </w:r>
          </w:p>
        </w:tc>
        <w:tc>
          <w:tcPr>
            <w:tcW w:type="dxa" w:w="3120"/>
          </w:tcPr>
          <w:p>
            <w:r>
              <w:t>Rekrut 1 Collection Analyst (target 1 minggu).</w:t>
            </w:r>
          </w:p>
        </w:tc>
      </w:tr>
      <w:tr>
        <w:tc>
          <w:tcPr>
            <w:tcW w:type="dxa" w:w="3120"/>
          </w:tcPr>
          <w:p>
            <w:r>
              <w:t>Prosedur Eskalasi</w:t>
            </w:r>
          </w:p>
        </w:tc>
        <w:tc>
          <w:tcPr>
            <w:tcW w:type="dxa" w:w="3120"/>
          </w:tcPr>
          <w:p>
            <w:r>
              <w:t>Draft SOP sudah ada</w:t>
            </w:r>
          </w:p>
        </w:tc>
        <w:tc>
          <w:tcPr>
            <w:tcW w:type="dxa" w:w="3120"/>
          </w:tcPr>
          <w:p>
            <w:r>
              <w:t>Finalisasi SOP &amp; sosialisasi ke tim operasional.</w:t>
            </w:r>
          </w:p>
        </w:tc>
      </w:tr>
      <w:tr>
        <w:tc>
          <w:tcPr>
            <w:tcW w:type="dxa" w:w="3120"/>
          </w:tcPr>
          <w:p>
            <w:r>
              <w:t>Dukungan Legal</w:t>
            </w:r>
          </w:p>
        </w:tc>
        <w:tc>
          <w:tcPr>
            <w:tcW w:type="dxa" w:w="3120"/>
          </w:tcPr>
          <w:p>
            <w:r>
              <w:t>Tersedia (Legal Counsel part‑time)</w:t>
            </w:r>
          </w:p>
        </w:tc>
        <w:tc>
          <w:tcPr>
            <w:tcW w:type="dxa" w:w="3120"/>
          </w:tcPr>
          <w:p>
            <w:r>
              <w:t>Siapkan template surat peringatan &amp; LoC.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Prioritas Tindakan 30 Hari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 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Swasta (Tech Startup) – Konsultasi Deployment Local LLM (Kelas E, Rp 180 jt)</w:t>
            </w:r>
          </w:p>
        </w:tc>
        <w:tc>
          <w:tcPr>
            <w:tcW w:type="dxa" w:w="1560"/>
          </w:tcPr>
          <w:p>
            <w:r>
              <w:t>Finance Manager &amp;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termin 30 hari, kirim LoC tertulis, siapkan eskalasi ke CFO bila tidak ada respon dalam 10 hari</w:t>
            </w:r>
          </w:p>
        </w:tc>
        <w:tc>
          <w:tcPr>
            <w:tcW w:type="dxa" w:w="1560"/>
          </w:tcPr>
          <w:p>
            <w:r>
              <w:t>Percepatan cash‑in Rp 180 jt, mengurangi gap 1,8 miliar menjadi 1,64 miliar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Swasta (Corporate) – Consulting Data Governance (Kelas E, Rp 165 jt)</w:t>
            </w:r>
          </w:p>
        </w:tc>
        <w:tc>
          <w:tcPr>
            <w:tcW w:type="dxa" w:w="1560"/>
          </w:tcPr>
          <w:p>
            <w:r>
              <w:t>Project Lead &amp; Finance Manager</w:t>
            </w:r>
          </w:p>
        </w:tc>
        <w:tc>
          <w:tcPr>
            <w:tcW w:type="dxa" w:w="1560"/>
          </w:tcPr>
          <w:p>
            <w:r>
              <w:t>Sengketa ruang lingkup</w:t>
            </w:r>
          </w:p>
        </w:tc>
        <w:tc>
          <w:tcPr>
            <w:tcW w:type="dxa" w:w="1560"/>
          </w:tcPr>
          <w:p>
            <w:r>
              <w:t>Tutup ruang lingkup yang diperselisihkan, dokumentasikan keputusan, tahan pekerjaan lanjutan sampai dispute selesai</w:t>
            </w:r>
          </w:p>
        </w:tc>
        <w:tc>
          <w:tcPr>
            <w:tcW w:type="dxa" w:w="1560"/>
          </w:tcPr>
          <w:p>
            <w:r>
              <w:t>Penyelesaian invoice Rp 165 jt, mengurangi risiko downgrade ke D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Swasta (Tech Startup) – Advisory MLOps (Kelas E, Rp 125 jt)</w:t>
            </w:r>
          </w:p>
        </w:tc>
        <w:tc>
          <w:tcPr>
            <w:tcW w:type="dxa" w:w="1560"/>
          </w:tcPr>
          <w:p>
            <w:r>
              <w:t>Finance Manager &amp;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Sama seperti Prioritas 1 (termin 30 hari, LoC)</w:t>
            </w:r>
          </w:p>
        </w:tc>
        <w:tc>
          <w:tcPr>
            <w:tcW w:type="dxa" w:w="1560"/>
          </w:tcPr>
          <w:p>
            <w:r>
              <w:t>Cash‑in tambahan Rp 125 jt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Swasta (Tech Startup) – Bootcamp Data Science (Kelas E, Rp 90 jt)</w:t>
            </w:r>
          </w:p>
        </w:tc>
        <w:tc>
          <w:tcPr>
            <w:tcW w:type="dxa" w:w="1560"/>
          </w:tcPr>
          <w:p>
            <w:r>
              <w:t>Finance Manager &amp;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 pembayaran bertahap (50 % di muka, 50 % setelah selesai)</w:t>
            </w:r>
          </w:p>
        </w:tc>
        <w:tc>
          <w:tcPr>
            <w:tcW w:type="dxa" w:w="1560"/>
          </w:tcPr>
          <w:p>
            <w:r>
              <w:t>Realisasi Rp 45 jt dalam 15 hari, sisanya dipantau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Instansi Pemerintah – Audit SPBE (Kelas D, Rp 250 jt)</w:t>
            </w:r>
          </w:p>
        </w:tc>
        <w:tc>
          <w:tcPr>
            <w:tcW w:type="dxa" w:w="1560"/>
          </w:tcPr>
          <w:p>
            <w:r>
              <w:t>Finance Collection &amp;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Verifikasi posisi anggaran, minta jadwal pencairan, kirim reminder 5 hari sebelum cut‑off fiskal</w:t>
            </w:r>
          </w:p>
        </w:tc>
        <w:tc>
          <w:tcPr>
            <w:tcW w:type="dxa" w:w="1560"/>
          </w:tcPr>
          <w:p>
            <w:r>
              <w:t>Mempercepat pencairan minimal 70 % nilai invoice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Pemerintahan Daerah – Bimtek AI Governance (Kelas D, Rp 145 jt)</w:t>
            </w:r>
          </w:p>
        </w:tc>
        <w:tc>
          <w:tcPr>
            <w:tcW w:type="dxa" w:w="1560"/>
          </w:tcPr>
          <w:p>
            <w:r>
              <w:t>Finance Collection &amp;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Sama seperti Prioritas 5, koordinasi dengan PIC daerah</w:t>
            </w:r>
          </w:p>
        </w:tc>
        <w:tc>
          <w:tcPr>
            <w:tcW w:type="dxa" w:w="1560"/>
          </w:tcPr>
          <w:p>
            <w:r>
              <w:t>Cash‑in tambahan Rp 100 jt dalam 30 hari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Universitas – Pelatihan Data Center (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E6E"/>
        <w:sz w:val="18"/>
      </w:rPr>
    </w:r>
    <w:r>
      <w:rPr>
        <w:rFonts w:ascii="Calibri" w:hAnsi="Calibri"/>
        <w:color w:val="6E6E6E"/>
        <w:sz w:val="18"/>
      </w:rPr>
      <w:t xml:space="preserve">STRICTLY CONFIDENTIAL | Page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PAGE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  <w:r>
      <w:rPr>
        <w:rFonts w:ascii="Calibri" w:hAnsi="Calibri"/>
        <w:color w:val="6E6E6E"/>
        <w:sz w:val="18"/>
      </w:rPr>
      <w:t xml:space="preserve"> of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NUMPAGES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787878"/>
        <w:sz w:val="16"/>
      </w:rPr>
    </w:r>
    <w:r>
      <w:rPr>
        <w:rFonts w:ascii="Calibri" w:hAnsi="Calibri"/>
        <w:color w:val="787878"/>
        <w:sz w:val="16"/>
      </w:rPr>
      <w:t>INIXINDO JOGJA | INTERNAL FINANCE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C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Inixindo Cash In Intelligence Report</dc:title>
  <dc:subject>Internal Cash In Intelligence Report</dc:subject>
  <dc:creator>Inixindo Jogja - Finance &amp; Revenue Optimization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Finance</cp:category>
</cp:coreProperties>
</file>