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787878"/>
          <w:sz w:val="20"/>
        </w:rPr>
        <w:t>STRICTLY CONFIDENTIAL</w:t>
      </w:r>
    </w:p>
    <w:p/>
    <w:p>
      <w:pPr>
        <w:jc w:val="center"/>
      </w:pPr>
      <w:r>
        <w:rPr>
          <w:rFonts w:ascii="Calibri" w:hAnsi="Calibri"/>
          <w:b/>
          <w:sz w:val="44"/>
        </w:rPr>
        <w:t>CASH IN INTELLIGENCE REPORT</w:t>
      </w:r>
    </w:p>
    <w:p>
      <w:pPr>
        <w:jc w:val="center"/>
      </w:pPr>
      <w:r>
        <w:rPr>
          <w:rFonts w:ascii="Calibri" w:hAnsi="Calibri"/>
          <w:b/>
          <w:color w:val="CC0000"/>
          <w:sz w:val="68"/>
        </w:rPr>
        <w:t>INIXINDO JOGJA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Cakupan Data</w:t>
            </w:r>
          </w:p>
        </w:tc>
        <w:tc>
          <w:tcPr>
            <w:tcW w:type="dxa" w:w="4680"/>
          </w:tcPr>
          <w:p>
            <w:r>
              <w:t>Seluruh histori invoice dan catatan penagihan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Tipe Laporan</w:t>
            </w:r>
          </w:p>
        </w:tc>
        <w:tc>
          <w:tcPr>
            <w:tcW w:type="dxa" w:w="4680"/>
          </w:tcPr>
          <w:p>
            <w:r>
              <w:t>Analisis deskriptif, diagnostik, prediktif, dan preskriptif cash 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Tanggal Generasi</w:t>
            </w:r>
          </w:p>
        </w:tc>
        <w:tc>
          <w:tcPr>
            <w:tcW w:type="dxa" w:w="4680"/>
          </w:tcPr>
          <w:p>
            <w:r>
              <w:t>02 April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Disusun Oleh</w:t>
            </w:r>
          </w:p>
        </w:tc>
        <w:tc>
          <w:tcPr>
            <w:tcW w:type="dxa" w:w="4680"/>
          </w:tcPr>
          <w:p>
            <w:r>
              <w:t>Inixindo Jogja - Finance &amp; Revenue Optimization Division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Klik kanan lalu pilih Update Field untuk memuat daftar isi.</w:t>
      </w:r>
      <w:r>
        <w:fldChar w:fldCharType="end"/>
      </w:r>
    </w:p>
    <w:p>
      <w:pPr>
        <w:jc w:val="left"/>
      </w:pPr>
      <w:r>
        <w:rPr>
          <w:i/>
          <w:sz w:val="20"/>
        </w:rPr>
        <w:t>Catatan: jika daftar isi belum muncul, klik kanan pada area daftar isi lalu pilih Update Field.</w:t>
      </w:r>
    </w:p>
    <w:p>
      <w:r>
        <w:br w:type="page"/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Ringkasan Eksekutif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Dampak Bisnis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Laporan ini digunakan untuk membantu manajemen membaca risiko cash in, memahami prioritas penagihan, dan menentukan tindakan yang paling cepat berdampak pada realisasi invoice.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Fokus pengguna tetap dijaga dalam interpretasi, namun narasi dan prioritas diturunkan dari bukti internal, pola historis, serta konteks pelaksanaan yang tersedia saat ini.</w:t>
      </w:r>
    </w:p>
    <w:p>
      <w:pPr>
        <w:pStyle w:val="Heading2"/>
        <w:jc w:val="left"/>
      </w:pPr>
      <w:r>
        <w:rPr>
          <w:b w:val="0"/>
          <w:i w:val="0"/>
          <w:u w:val="none"/>
        </w:rPr>
        <w:t>Fakta Eksekutif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Portofolio yang dianalisis mencakup 49 invoice dengan total nilai Rp 6.963.000.000.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Invoice terlambat mencapai 40 kasus atau 81.6% dari populasi, dengan nilai tertunda Rp 5.650.000.000.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Eksposur risiko tinggi Kelas D/E mencapai 11 invoice senilai Rp 1.547.000.000 dan terkonsentrasi pada Swasta (Tech Startup), Instansi Pemerintah, Universitas.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Estimasi cash in risk-adjusted base case adalah Rp 5.140.450.000 dengan gap Rp 1.822.550.000 terhadap total nilai invoice.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terbaru yang diamati adalah Q2 2026 ke Q3 2026 dengan jumlah invoice berubah +0 dan nilai invoice turun 0.6%.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Skor risiko rata-rata turun 0.11 poin dari 2.67 ke 2.56, yang berarti kondisi penagihan membaik.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Layanan dengan eksposur risiko tinggi paling dominan saat ini: Audit SPBE, Bootcamp Data Science, Konsultasi Deployment Local LLM.</w:t>
      </w:r>
    </w:p>
    <w:p>
      <w:pPr>
        <w:pStyle w:val="Heading3"/>
        <w:jc w:val="left"/>
      </w:pPr>
      <w:r>
        <w:rPr>
          <w:b w:val="0"/>
          <w:i w:val="0"/>
          <w:u w:val="none"/>
        </w:rPr>
        <w:t>Tingkat Keyakinan dan Caveat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Tingkat keyakinan data saat ini menengah karena laporan memakai dataset demo lokal dengan 6/6 atribut inti tersedia.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Kesiapan operasional aplikasi berada pada tingkat menengah; jalur deployment saat ini flask dengan dukungan antrean 4 pekerjaan paralel.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Kepastian penanggung jawab lintas fungsi berada pada tingkat tinggi; sinyal owner eksplisit yang tertangkap dari catatan pengguna = 4.</w:t>
        <w:br/>
        <w:t>Data masih berasal dari dataset demo lokal, sehingga laporan cocok untuk simulasi diskusi internal dan pengujian alur, bukan untuk komitmen operasional final.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Deskriptif Cash In</w:t>
      </w:r>
    </w:p>
    <w:p>
      <w:pPr>
        <w:pStyle w:val="Heading3"/>
        <w:jc w:val="left"/>
      </w:pPr>
      <w:r>
        <w:rPr>
          <w:b w:val="0"/>
          <w:i w:val="0"/>
          <w:u w:val="none"/>
        </w:rPr>
        <w:t>Snapshot Portofolio dan Konsentrasi Risiko</w:t>
      </w:r>
    </w:p>
    <w:p>
      <w:pPr>
        <w:pStyle w:val="Heading2"/>
        <w:jc w:val="left"/>
      </w:pPr>
      <w:r>
        <w:rPr>
          <w:b w:val="0"/>
          <w:i w:val="0"/>
          <w:u w:val="none"/>
        </w:rPr>
        <w:t>Snapshot Cash In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Total invoice dianalisis: 49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Total nilai invoice: Rp 6.963.000.000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Porsi invoice terlambat: 81.6%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Nilai invoice terlambat: Rp 5.650.000.000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Porsi invoice risiko tinggi (Kelas D/E): 22.4%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Nilai invoice risiko tinggi (Kelas D/E): Rp 1.547.000.000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Skor risiko penagihan rata-rata: 2.63 dari 5.00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Estimasi cash in risk-adjusted (base case): Rp 5.140.450.000 atau 73.8% dari total nilai invoice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Gap cash in pada base case: Rp 1.822.550.000</w:t>
      </w:r>
    </w:p>
    <w:p>
      <w:pPr>
        <w:pStyle w:val="Heading2"/>
        <w:jc w:val="left"/>
      </w:pPr>
      <w:r>
        <w:rPr>
          <w:b w:val="0"/>
          <w:i w:val="0"/>
          <w:u w:val="none"/>
        </w:rPr>
        <w:t>Pergerakan Periode Terbaru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terbaru yang diamati adalah Q2 2026 ke Q3 2026 dengan jumlah invoice berubah +0 dan nilai invoice turun 0.6%.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Nilai invoice Q2 2026 = Rp 1.276.000.000; Q3 2026 = Rp 1.268.000.000.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Skor risiko rata-rata turun 0.11 poin dari 2.67 ke 2.56, yang berarti kondisi penagihan membaik.</w:t>
      </w:r>
    </w:p>
    <w:p>
      <w:pPr>
        <w:pStyle w:val="Heading2"/>
        <w:jc w:val="left"/>
      </w:pPr>
      <w:r>
        <w:rPr>
          <w:b w:val="0"/>
          <w:i w:val="0"/>
          <w:u w:val="none"/>
        </w:rPr>
        <w:t>Distribusi Kelas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Kelas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Porsi Invoice</w:t>
            </w:r>
          </w:p>
        </w:tc>
      </w:tr>
      <w:tr>
        <w:tc>
          <w:tcPr>
            <w:tcW w:type="dxa" w:w="2340"/>
          </w:tcPr>
          <w:p>
            <w:r>
              <w:t>Kelas 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Rp 1.313.000.000</w:t>
            </w:r>
          </w:p>
        </w:tc>
        <w:tc>
          <w:tcPr>
            <w:tcW w:type="dxa" w:w="2340"/>
          </w:tcPr>
          <w:p>
            <w:r>
              <w:t>18.4%</w:t>
            </w:r>
          </w:p>
        </w:tc>
      </w:tr>
      <w:tr>
        <w:tc>
          <w:tcPr>
            <w:tcW w:type="dxa" w:w="2340"/>
          </w:tcPr>
          <w:p>
            <w:r>
              <w:t>Kelas B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Rp 1.970.000.000</w:t>
            </w:r>
          </w:p>
        </w:tc>
        <w:tc>
          <w:tcPr>
            <w:tcW w:type="dxa" w:w="2340"/>
          </w:tcPr>
          <w:p>
            <w:r>
              <w:t>30.6%</w:t>
            </w:r>
          </w:p>
        </w:tc>
      </w:tr>
      <w:tr>
        <w:tc>
          <w:tcPr>
            <w:tcW w:type="dxa" w:w="2340"/>
          </w:tcPr>
          <w:p>
            <w:r>
              <w:t>Kelas C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Rp 2.133.000.000</w:t>
            </w:r>
          </w:p>
        </w:tc>
        <w:tc>
          <w:tcPr>
            <w:tcW w:type="dxa" w:w="2340"/>
          </w:tcPr>
          <w:p>
            <w:r>
              <w:t>28.6%</w:t>
            </w:r>
          </w:p>
        </w:tc>
      </w:tr>
      <w:tr>
        <w:tc>
          <w:tcPr>
            <w:tcW w:type="dxa" w:w="2340"/>
          </w:tcPr>
          <w:p>
            <w:r>
              <w:t>Kelas D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Rp 987.000.000</w:t>
            </w:r>
          </w:p>
        </w:tc>
        <w:tc>
          <w:tcPr>
            <w:tcW w:type="dxa" w:w="2340"/>
          </w:tcPr>
          <w:p>
            <w:r>
              <w:t>14.3%</w:t>
            </w:r>
          </w:p>
        </w:tc>
      </w:tr>
      <w:tr>
        <w:tc>
          <w:tcPr>
            <w:tcW w:type="dxa" w:w="2340"/>
          </w:tcPr>
          <w:p>
            <w:r>
              <w:t>Kelas E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Rp 560.000.000</w:t>
            </w:r>
          </w:p>
        </w:tc>
        <w:tc>
          <w:tcPr>
            <w:tcW w:type="dxa" w:w="2340"/>
          </w:tcPr>
          <w:p>
            <w:r>
              <w:t>8.2%</w:t>
            </w:r>
          </w:p>
        </w:tc>
      </w:tr>
    </w:tbl>
    <w:p>
      <w:pPr>
        <w:pStyle w:val="Heading2"/>
        <w:jc w:val="left"/>
      </w:pPr>
      <w:r>
        <w:rPr>
          <w:b w:val="0"/>
          <w:i w:val="0"/>
          <w:u w:val="none"/>
        </w:rPr>
        <w:t>Segmentasi Risiko per Tipe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Tipe Partner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Skor Risiko Rata-rata</w:t>
            </w:r>
          </w:p>
        </w:tc>
      </w:tr>
      <w:tr>
        <w:tc>
          <w:tcPr>
            <w:tcW w:type="dxa" w:w="2340"/>
          </w:tcPr>
          <w:p>
            <w:r>
              <w:t>Swasta (Tech Startup)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Rp 725.000.000</w:t>
            </w:r>
          </w:p>
        </w:tc>
        <w:tc>
          <w:tcPr>
            <w:tcW w:type="dxa" w:w="2340"/>
          </w:tcPr>
          <w:p>
            <w:r>
              <w:t>4.33</w:t>
            </w:r>
          </w:p>
        </w:tc>
      </w:tr>
      <w:tr>
        <w:tc>
          <w:tcPr>
            <w:tcW w:type="dxa" w:w="2340"/>
          </w:tcPr>
          <w:p>
            <w:r>
              <w:t>Universitas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Rp 405.000.000</w:t>
            </w:r>
          </w:p>
        </w:tc>
        <w:tc>
          <w:tcPr>
            <w:tcW w:type="dxa" w:w="2340"/>
          </w:tcPr>
          <w:p>
            <w:r>
              <w:t>3.50</w:t>
            </w:r>
          </w:p>
        </w:tc>
      </w:tr>
      <w:tr>
        <w:tc>
          <w:tcPr>
            <w:tcW w:type="dxa" w:w="2340"/>
          </w:tcPr>
          <w:p>
            <w:r>
              <w:t>Rumah Sakit / Layanan Publik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Rp 617.000.000</w:t>
            </w:r>
          </w:p>
        </w:tc>
        <w:tc>
          <w:tcPr>
            <w:tcW w:type="dxa" w:w="2340"/>
          </w:tcPr>
          <w:p>
            <w:r>
              <w:t>2.80</w:t>
            </w:r>
          </w:p>
        </w:tc>
      </w:tr>
      <w:tr>
        <w:tc>
          <w:tcPr>
            <w:tcW w:type="dxa" w:w="2340"/>
          </w:tcPr>
          <w:p>
            <w:r>
              <w:t>Instansi Pemerintah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Rp 1.665.000.000</w:t>
            </w:r>
          </w:p>
        </w:tc>
        <w:tc>
          <w:tcPr>
            <w:tcW w:type="dxa" w:w="2340"/>
          </w:tcPr>
          <w:p>
            <w:r>
              <w:t>2.78</w:t>
            </w:r>
          </w:p>
        </w:tc>
      </w:tr>
      <w:tr>
        <w:tc>
          <w:tcPr>
            <w:tcW w:type="dxa" w:w="2340"/>
          </w:tcPr>
          <w:p>
            <w:r>
              <w:t>Pemerintahan Daerah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Rp 438.000.000</w:t>
            </w:r>
          </w:p>
        </w:tc>
        <w:tc>
          <w:tcPr>
            <w:tcW w:type="dxa" w:w="2340"/>
          </w:tcPr>
          <w:p>
            <w:r>
              <w:t>2.75</w:t>
            </w:r>
          </w:p>
        </w:tc>
      </w:tr>
    </w:tbl>
    <w:p>
      <w:pPr>
        <w:pStyle w:val="Heading2"/>
        <w:jc w:val="left"/>
      </w:pPr>
      <w:r>
        <w:rPr>
          <w:b w:val="0"/>
          <w:i w:val="0"/>
          <w:u w:val="none"/>
        </w:rPr>
        <w:t>Segmentasi Risiko per Layanan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Layanan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Skor Risiko Rata-rata</w:t>
            </w:r>
          </w:p>
        </w:tc>
      </w:tr>
      <w:tr>
        <w:tc>
          <w:tcPr>
            <w:tcW w:type="dxa" w:w="2340"/>
          </w:tcPr>
          <w:p>
            <w:r>
              <w:t>Konsultasi Deployment Local LLM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180.000.000</w:t>
            </w:r>
          </w:p>
        </w:tc>
        <w:tc>
          <w:tcPr>
            <w:tcW w:type="dxa" w:w="2340"/>
          </w:tcPr>
          <w:p>
            <w:r>
              <w:t>5.00</w:t>
            </w:r>
          </w:p>
        </w:tc>
      </w:tr>
      <w:tr>
        <w:tc>
          <w:tcPr>
            <w:tcW w:type="dxa" w:w="2340"/>
          </w:tcPr>
          <w:p>
            <w:r>
              <w:t>Consulting Data Governance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165.000.000</w:t>
            </w:r>
          </w:p>
        </w:tc>
        <w:tc>
          <w:tcPr>
            <w:tcW w:type="dxa" w:w="2340"/>
          </w:tcPr>
          <w:p>
            <w:r>
              <w:t>5.00</w:t>
            </w:r>
          </w:p>
        </w:tc>
      </w:tr>
      <w:tr>
        <w:tc>
          <w:tcPr>
            <w:tcW w:type="dxa" w:w="2340"/>
          </w:tcPr>
          <w:p>
            <w:r>
              <w:t>Advisory MLOps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125.000.000</w:t>
            </w:r>
          </w:p>
        </w:tc>
        <w:tc>
          <w:tcPr>
            <w:tcW w:type="dxa" w:w="2340"/>
          </w:tcPr>
          <w:p>
            <w:r>
              <w:t>5.00</w:t>
            </w:r>
          </w:p>
        </w:tc>
      </w:tr>
      <w:tr>
        <w:tc>
          <w:tcPr>
            <w:tcW w:type="dxa" w:w="2340"/>
          </w:tcPr>
          <w:p>
            <w:r>
              <w:t>Bootcamp Data Science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Rp 220.000.000</w:t>
            </w:r>
          </w:p>
        </w:tc>
        <w:tc>
          <w:tcPr>
            <w:tcW w:type="dxa" w:w="2340"/>
          </w:tcPr>
          <w:p>
            <w:r>
              <w:t>4.50</w:t>
            </w:r>
          </w:p>
        </w:tc>
      </w:tr>
      <w:tr>
        <w:tc>
          <w:tcPr>
            <w:tcW w:type="dxa" w:w="2340"/>
          </w:tcPr>
          <w:p>
            <w:r>
              <w:t>Bimtek AI Governance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145.000.000</w:t>
            </w:r>
          </w:p>
        </w:tc>
        <w:tc>
          <w:tcPr>
            <w:tcW w:type="dxa" w:w="2340"/>
          </w:tcPr>
          <w:p>
            <w:r>
              <w:t>4.00</w:t>
            </w:r>
          </w:p>
        </w:tc>
      </w:tr>
    </w:tbl>
    <w:p>
      <w:pPr>
        <w:pStyle w:val="Heading2"/>
        <w:jc w:val="left"/>
      </w:pPr>
      <w:r>
        <w:rPr>
          <w:b w:val="0"/>
          <w:i w:val="0"/>
          <w:u w:val="none"/>
        </w:rPr>
        <w:t>Tren Ringkas per Periode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Periode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Skor Risiko Rata-rata</w:t>
            </w:r>
          </w:p>
        </w:tc>
      </w:tr>
      <w:tr>
        <w:tc>
          <w:tcPr>
            <w:tcW w:type="dxa" w:w="2340"/>
          </w:tcPr>
          <w:p>
            <w:r>
              <w:t>Q2 2025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Rp 1.112.000.000</w:t>
            </w:r>
          </w:p>
        </w:tc>
        <w:tc>
          <w:tcPr>
            <w:tcW w:type="dxa" w:w="2340"/>
          </w:tcPr>
          <w:p>
            <w:r>
              <w:t>2.50</w:t>
            </w:r>
          </w:p>
        </w:tc>
      </w:tr>
      <w:tr>
        <w:tc>
          <w:tcPr>
            <w:tcW w:type="dxa" w:w="2340"/>
          </w:tcPr>
          <w:p>
            <w:r>
              <w:t>Q3 2025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Rp 1.118.000.000</w:t>
            </w:r>
          </w:p>
        </w:tc>
        <w:tc>
          <w:tcPr>
            <w:tcW w:type="dxa" w:w="2340"/>
          </w:tcPr>
          <w:p>
            <w:r>
              <w:t>2.29</w:t>
            </w:r>
          </w:p>
        </w:tc>
      </w:tr>
      <w:tr>
        <w:tc>
          <w:tcPr>
            <w:tcW w:type="dxa" w:w="2340"/>
          </w:tcPr>
          <w:p>
            <w:r>
              <w:t>Q4 2025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Rp 1.052.000.000</w:t>
            </w:r>
          </w:p>
        </w:tc>
        <w:tc>
          <w:tcPr>
            <w:tcW w:type="dxa" w:w="2340"/>
          </w:tcPr>
          <w:p>
            <w:r>
              <w:t>3.00</w:t>
            </w:r>
          </w:p>
        </w:tc>
      </w:tr>
      <w:tr>
        <w:tc>
          <w:tcPr>
            <w:tcW w:type="dxa" w:w="2340"/>
          </w:tcPr>
          <w:p>
            <w:r>
              <w:t>Q1 2026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Rp 1.137.000.000</w:t>
            </w:r>
          </w:p>
        </w:tc>
        <w:tc>
          <w:tcPr>
            <w:tcW w:type="dxa" w:w="2340"/>
          </w:tcPr>
          <w:p>
            <w:r>
              <w:t>2.75</w:t>
            </w:r>
          </w:p>
        </w:tc>
      </w:tr>
      <w:tr>
        <w:tc>
          <w:tcPr>
            <w:tcW w:type="dxa" w:w="2340"/>
          </w:tcPr>
          <w:p>
            <w:r>
              <w:t>Q2 2026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Rp 1.276.000.000</w:t>
            </w:r>
          </w:p>
        </w:tc>
        <w:tc>
          <w:tcPr>
            <w:tcW w:type="dxa" w:w="2340"/>
          </w:tcPr>
          <w:p>
            <w:r>
              <w:t>2.67</w:t>
            </w:r>
          </w:p>
        </w:tc>
      </w:tr>
      <w:tr>
        <w:tc>
          <w:tcPr>
            <w:tcW w:type="dxa" w:w="2340"/>
          </w:tcPr>
          <w:p>
            <w:r>
              <w:t>Q3 2026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Rp 1.268.000.000</w:t>
            </w:r>
          </w:p>
        </w:tc>
        <w:tc>
          <w:tcPr>
            <w:tcW w:type="dxa" w:w="2340"/>
          </w:tcPr>
          <w:p>
            <w:r>
              <w:t>2.56</w:t>
            </w:r>
          </w:p>
        </w:tc>
      </w:tr>
    </w:tbl>
    <w:p>
      <w:pPr>
        <w:pStyle w:val="Heading2"/>
        <w:jc w:val="left"/>
      </w:pPr>
      <w:r>
        <w:rPr>
          <w:b w:val="0"/>
          <w:i w:val="0"/>
          <w:u w:val="none"/>
        </w:rPr>
        <w:t>Konsentrasi Eksposur Risiko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Tipe Partner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 D/E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 D/E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Skor Risiko Rata-rata</w:t>
            </w:r>
          </w:p>
        </w:tc>
      </w:tr>
      <w:tr>
        <w:tc>
          <w:tcPr>
            <w:tcW w:type="dxa" w:w="2340"/>
          </w:tcPr>
          <w:p>
            <w:r>
              <w:t>Swasta (Tech Startup)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Rp 630.000.000</w:t>
            </w:r>
          </w:p>
        </w:tc>
        <w:tc>
          <w:tcPr>
            <w:tcW w:type="dxa" w:w="2340"/>
          </w:tcPr>
          <w:p>
            <w:r>
              <w:t>4.60</w:t>
            </w:r>
          </w:p>
        </w:tc>
      </w:tr>
      <w:tr>
        <w:tc>
          <w:tcPr>
            <w:tcW w:type="dxa" w:w="2340"/>
          </w:tcPr>
          <w:p>
            <w:r>
              <w:t>Instansi Pemerintah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250.000.000</w:t>
            </w:r>
          </w:p>
        </w:tc>
        <w:tc>
          <w:tcPr>
            <w:tcW w:type="dxa" w:w="2340"/>
          </w:tcPr>
          <w:p>
            <w:r>
              <w:t>4.00</w:t>
            </w:r>
          </w:p>
        </w:tc>
      </w:tr>
      <w:tr>
        <w:tc>
          <w:tcPr>
            <w:tcW w:type="dxa" w:w="2340"/>
          </w:tcPr>
          <w:p>
            <w:r>
              <w:t>Universitas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Rp 215.000.000</w:t>
            </w:r>
          </w:p>
        </w:tc>
        <w:tc>
          <w:tcPr>
            <w:tcW w:type="dxa" w:w="2340"/>
          </w:tcPr>
          <w:p>
            <w:r>
              <w:t>4.00</w:t>
            </w:r>
          </w:p>
        </w:tc>
      </w:tr>
      <w:tr>
        <w:tc>
          <w:tcPr>
            <w:tcW w:type="dxa" w:w="2340"/>
          </w:tcPr>
          <w:p>
            <w:r>
              <w:t>Swasta (Corporate)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165.000.000</w:t>
            </w:r>
          </w:p>
        </w:tc>
        <w:tc>
          <w:tcPr>
            <w:tcW w:type="dxa" w:w="2340"/>
          </w:tcPr>
          <w:p>
            <w:r>
              <w:t>5.00</w:t>
            </w:r>
          </w:p>
        </w:tc>
      </w:tr>
      <w:tr>
        <w:tc>
          <w:tcPr>
            <w:tcW w:type="dxa" w:w="2340"/>
          </w:tcPr>
          <w:p>
            <w:r>
              <w:t>Pemerintahan Daerah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145.000.000</w:t>
            </w:r>
          </w:p>
        </w:tc>
        <w:tc>
          <w:tcPr>
            <w:tcW w:type="dxa" w:w="2340"/>
          </w:tcPr>
          <w:p>
            <w:r>
              <w:t>4.00</w:t>
            </w:r>
          </w:p>
        </w:tc>
      </w:tr>
    </w:tbl>
    <w:p>
      <w:pPr>
        <w:pStyle w:val="Heading2"/>
        <w:jc w:val="left"/>
      </w:pPr>
      <w:r>
        <w:rPr>
          <w:b w:val="0"/>
          <w:i w:val="0"/>
          <w:u w:val="none"/>
        </w:rPr>
        <w:t>Sinyal Diagnostik Utama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Dokumen dan administrasi muncul pada 20 catatan historis.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Siklus anggaran muncul pada 11 catatan historis.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Persetujuan internal klien muncul pada 9 catatan historis.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Likuiditas pelanggan muncul pada 9 catatan historis.</w:t>
      </w:r>
    </w:p>
    <w:p>
      <w:pPr>
        <w:pStyle w:val="Heading3"/>
        <w:jc w:val="left"/>
      </w:pPr>
      <w:r>
        <w:rPr>
          <w:b w:val="0"/>
          <w:i w:val="0"/>
          <w:u w:val="none"/>
        </w:rPr>
        <w:t>Batasan Data dan Asumsi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Analisis ini mengasumsikan 49 invoice yang tersedia sudah mewakili pola penagihan utama pada portofolio yang dibahas.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Atribut inti yang terbaca saat ini adalah 6/6 atribut inti tersedia; atribut yang belum kuat atau belum tersedia: -.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Proyeksi cash in dibaca sebagai skenario manajemen berbasis histori kelas pembayaran, bukan kepastian realisasi kas.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Karena masih demo mode, angka dan narasi diposisikan sebagai bahan kalibrasi diskusi sebelum integrasi source-of-truth internal.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4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Grafik distribusi historis kelas pembayaran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Diagnostik</w:t>
      </w:r>
    </w:p>
    <w:p>
      <w:pPr>
        <w:pStyle w:val="Heading3"/>
        <w:jc w:val="left"/>
      </w:pPr>
      <w:r>
        <w:rPr>
          <w:b w:val="0"/>
          <w:i w:val="0"/>
          <w:u w:val="none"/>
        </w:rPr>
        <w:t>Bukti Internal yang Mewakili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Q3 2026 | Tipe Partner: BUMN / Corporate | Layanan: Simulasi BCP/DRP | Kelas Pembayaran: Kelas B (Telat 1-2 Minggu) | Nilai Invoice: Rp 190.000.000 | Catatan Historis Keterlambatan: Invoice ditahan sampai berita acara final ditandatangani seluruh pihak.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Q4 2025 | Tipe Partner: BUMN / Corporate | Layanan: Managed SOC Retainer | Kelas Pembayaran: Kelas B (Telat 1-2 Minggu) | Nilai Invoice: Rp 205.000.000 | Catatan Historis Keterlambatan: Approval security operations tertahan sampai berita acara final ditandatangani.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Q2 2025 | Tipe Partner: BUMN / Corporate | Layanan: Managed SOC Retainer | Kelas Pembayaran: Kelas C (Telat 1-2 Bulan) | Nilai Invoice: Rp 275.000.000 | Catatan Historis Keterlambatan: PO perlu revisi, approval legal tertunda, dan dokumen berita acara harus dilengkapi sebelum pembayaran diproses.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Q1 2026 | Tipe Partner: Instansi Pemerintah | Layanan: Pelatihan IT Security | Kelas Pembayaran: Kelas C (Telat 1-2 Bulan) | Nilai Invoice: Rp 150.000.000 | Catatan Historis Keterlambatan: Pembayaran tertunda karena menunggu pencairan DIPA awal tahun anggaran baru.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Q2 2026 | Tipe Partner: Rumah Sakit / Layanan Publik | Layanan: Audit Keamanan Aplikasi | Kelas Pembayaran: Kelas C (Telat 1-2 Bulan) | Nilai Invoice: Rp 135.000.000 | Catatan Historis Keterlambatan: Direktur meminta revisi PO, review vendor, dan dokumen tambahan sebelum termin dibayar.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Q2 2025 | Tipe Partner: Swasta (Tech Startup) | Layanan: Konsultasi AI Governance | Kelas Pembayaran: Kelas C (Telat 1-2 Bulan) | Nilai Invoice: Rp 95.000.000 | Catatan Historis Keterlambatan: Tim finance menunda pembayaran karena cashflow ketat, likuiditas menurun, dan masih menunggu dana investor.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Q3 2026 | Tipe Partner: Rumah Sakit / Layanan Publik | Layanan: Pelatihan Keamanan Medis | Kelas Pembayaran: Kelas B (Telat 1-2 Minggu) | Nilai Invoice: Rp 98.000.000 | Catatan Historis Keterlambatan: Pembayaran baru dilepas setelah audit internal selesai.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Q3 2026 | Tipe Partner: Swasta (Corporate) | Layanan: Assessment ISO 27001 | Kelas Pembayaran: Kelas A (Tepat Waktu) | Nilai Invoice: Rp 160.000.000 | Catatan Historis Keterlambatan: Pembayaran berjalan sesuai termin 14 hari tanpa temuan administrasi.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Q3 2026 | Tipe Partner: Pemerintahan Daerah | Layanan: Bimtek AI Governance | Kelas Pembayaran: Kelas D (Telat 3-6 Bulan) | Nilai Invoice: Rp 145.000.000 | Catatan Historis Keterlambatan: Perubahan APBD, backlog tanda tangan pejabat, dan revisi dokumen menyebabkan invoice tertahan lama.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Q2 2025 | Tipe Partner: Instansi Pemerintah | Layanan: Audit SPBE | Kelas Pembayaran: Kelas C (Telat 1-2 Bulan) | Nilai Invoice: Rp 180.000.000 | Catatan Historis Keterlambatan: Pembayaran tertunda karena revisi DIPA, pencairan anggaran belum turun, dan verifikasi dokumen termin belum selesai.</w:t>
      </w:r>
    </w:p>
    <w:p>
      <w:pPr>
        <w:pStyle w:val="Heading3"/>
        <w:jc w:val="left"/>
      </w:pPr>
      <w:r>
        <w:rPr>
          <w:b w:val="0"/>
          <w:i w:val="0"/>
          <w:u w:val="none"/>
        </w:rPr>
        <w:t>Konteks OSINT Pendukung</w:t>
      </w:r>
    </w:p>
    <w:p>
      <w:pPr>
        <w:jc w:val="both"/>
      </w:pPr>
      <w:r>
        <w:rPr>
          <w:b w:val="0"/>
          <w:i w:val="0"/>
          <w:u w:val="none"/>
        </w:rPr>
        <w:t>[Siklus Anggaran Pemerintah]</w:t>
        <w:br/>
        <w:t>1. https://semantik.bppk.kemenkeu.go.id/api/v2/file/d...</w:t>
        <w:br/>
        <w:t xml:space="preserve">   Inti: No information is available for this page. · Learn why</w:t>
        <w:br/>
        <w:t xml:space="preserve">   Sumber: semantik.bppk.kemenkeu.go.id</w:t>
        <w:br/>
        <w:t>2. Dimas Huda - Forum News Network</w:t>
        <w:br/>
        <w:t xml:space="preserve">   Inti: Yang disebut PSN itu ternyata adalah pembangunan Tropical Coastland. Lokasinya, di bekas hutan lindung mangrove di PIK 2. Berikut ini profil proyek itu.</w:t>
        <w:br/>
        <w:t xml:space="preserve">   Sumber: fnn.co.id</w:t>
      </w:r>
    </w:p>
    <w:p>
      <w:pPr>
        <w:jc w:val="both"/>
      </w:pPr>
      <w:r>
        <w:rPr>
          <w:b w:val="0"/>
          <w:i w:val="0"/>
          <w:u w:val="none"/>
        </w:rPr>
        <w:t>[Perilaku Pembayaran BUMN dan Korporasi]</w:t>
        <w:br/>
        <w:t>- Tidak ada sinyal eksternal yang relevan.</w:t>
      </w:r>
    </w:p>
    <w:p>
      <w:pPr>
        <w:jc w:val="both"/>
      </w:pPr>
      <w:r>
        <w:rPr>
          <w:b w:val="0"/>
          <w:i w:val="0"/>
          <w:u w:val="none"/>
        </w:rPr>
        <w:t>[Likuiditas dan Piutang Bisnis]</w:t>
        <w:br/>
        <w:t>- Tidak ada sinyal eksternal yang relevan.</w:t>
      </w:r>
    </w:p>
    <w:p>
      <w:pPr>
        <w:jc w:val="both"/>
      </w:pPr>
      <w:r>
        <w:rPr>
          <w:b w:val="0"/>
          <w:i w:val="0"/>
          <w:u w:val="none"/>
        </w:rPr>
        <w:t>[Regulasi Pengadaan dan Kontrak]</w:t>
        <w:br/>
        <w:t>1. [PDF] peraturan menteri keuangan republik indonesia (4 Mar 2026)</w:t>
        <w:br/>
        <w:t xml:space="preserve">   Inti: Peraturan Pemerintah Nomor 9 Tahun 2026 tentang. Pemberian Tunjangan Hari Raya dan Gaji Ketiga Belas kepada Aparatur Negara, Pensiunan, Penerima ...</w:t>
        <w:br/>
        <w:t xml:space="preserve">   Sumber: jdih.kemenkeu.go.id</w:t>
      </w:r>
    </w:p>
    <w:p>
      <w:pPr>
        <w:pStyle w:val="Heading3"/>
        <w:jc w:val="left"/>
      </w:pPr>
      <w:r>
        <w:rPr>
          <w:b w:val="0"/>
          <w:i w:val="0"/>
          <w:u w:val="none"/>
        </w:rPr>
        <w:t>Risiko dan Kontrol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Postur kontrol saat ini berada pada tingkat menengah; invoice prioritas tetap memerlukan verifikasi manual sebelum komitmen eskalasi atau forecast dinaikkan.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Fokus kontrol utama saat ini berada pada konsentrasi risiko di Swasta (Tech Startup), Instansi Pemerintah, dan Universitas dan invoice Kelas D/E yang bernilai besar.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Sebelum eskalasi ke klien, verifikasi ulang invoice prioritas, kelengkapan dokumen, dan status komitmen bayar terbaru.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OSINT hanya dipakai sebagai konteks eksternal; fakta invoice, nilai, dan prioritas tetap harus mengikuti data internal yang tersedia.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Hindari menjadikan hasil demo sebagai dasar komitmen eksternal atau forecast final tanpa verifikasi terhadap sistem internal.</w:t>
      </w:r>
    </w:p>
    <w:p>
      <w:pPr>
        <w:pStyle w:val="Heading3"/>
        <w:jc w:val="left"/>
      </w:pPr>
      <w:r>
        <w:rPr>
          <w:b w:val="0"/>
          <w:i w:val="0"/>
          <w:u w:val="none"/>
        </w:rPr>
        <w:t>Fokus Pengguna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=== INPUT CASHFLOW TERPILIH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pilihan: 1 Januari 2026 - 31 Maret 2026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Seluruh nilai uang dibaca langsung dalam Rupiah (IDR).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Cash on hand saat ini: Rp500.000.000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Sumber data aktif: Demo dataset lokal</w:t>
        <w:br/>
        <w:t>=== ESTIMASI PEMBAYARAN BERDASARKAN PAYMENT BEHAVIOR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C: Rp2.133.000.000, retention 60%, satisfaction 50%, delay 45 hari, karakter Mulai rapuh dan sensitif terhadap pengalaman layanan.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B: Rp1.970.000.000, retention 80%, satisfaction 75%, delay 10 hari, karakter Relatif sehat namun perlu ritme follow-up.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A: Rp1.313.000.000, retention 95%, satisfaction 95%, delay 0 hari, karakter Disiplin tinggi dan loyal.</w:t>
        <w:br/>
        <w:t>=== TOTAL OUTSTANDING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Dipisahkan berdasarkan umur outstanding: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0-30 hari: 24 invoice, Rp3.283.000.000.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31-60 hari: 14 invoice, Rp2.133.000.000.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91-180 hari: 11 invoice, Rp1.547.000.000.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Dipisahkan berdasarkan karakter pembayaran: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A: 9 invoice, Rp1.313.000.000, profil Tepat Waktu.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B: 15 invoice, Rp1.970.000.000, profil Telat 1-2 Minggu.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C: 14 invoice, Rp2.133.000.000, profil Telat 1-2 Bulan.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D: 7 invoice, Rp987.000.000, profil Telat 3-6 Bulan.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E: 4 invoice, Rp560.000.000, profil Telat &gt; 6 Bulan.</w:t>
        <w:br/>
        <w:t>=== FAKTOR EKSTERNAL YANG BERPOTENSI MEMPENGARUHI WAKTU PEMBAYARAN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Siklus anggaran pemerintah: potensi delay 10-30 hari. Potensi mundur tambahan ketika termin pembayaran bergantung pada pencairan anggaran. Sumber: api-djppr.kemenkeu.go.id, s3.kiw.co.id.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Approval korporasi dan BUMN: potensi delay 7-21 hari. Potensi penambahan hari tunggu karena approval berlapis, BAST, atau verifikasi akhir. Sumber: astragraphia.co.id, idx.co.id.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Likuiditas pelanggan: potensi delay 14-45 hari. Potensi penundaan tambahan ketika pelanggan sedang menjaga kas atau menahan pengeluaran. Sumber: idx.co.id, airnavindonesia.co.id.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Regulasi pengadaan dan administrasi kontrak: potensi delay 5-20 hari. Potensi penambahan waktu akibat revisi dokumen, termin, atau penyesuaian administrasi kontrak. Sumber: webapi-bpdlh.kemenkeu.go.id, ir-bri.com.</w:t>
        <w:br/>
        <w:t>=== REKOMENDASI BERBASIS SOP, RETENTION, DAN SATISFACTION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[HIGH] Percepat penagihan dari high-priority clients. SoP: Hubungi Client Relations, escalate ke Finance VP. Retention: Pertahankan akun yang masih responsif agar cash in tidak makin tertunda. Satisfaction: Pastikan komunikasi tetap jelas agar percepatan penagihan tidak menurunkan trust.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[HIGH] Intervensi untuk clients dengan Kelas D-E. SoP: Assign dedicated account manager, schedule satisfaction survey, prepare settlement options. Retention: Retention rendah; akun seperti ini butuh intervensi yang lebih personal atau opsi restrukturisasi. Satisfaction: Satisfaction score rendah mengindikasikan potensi friksi layanan yang memperpanjang pembayaran.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[MEDIUM] Relationship management untuk Kelas C clients. SoP: Quarterly check-in call, satisfaction assessment, offer flexible terms. Retention: Retention berada di level menengah dan masih bisa ditingkatkan dengan ritme hubungan yang lebih baik. Satisfaction: Satisfaction menengah berarti pengalaman layanan dan kejelasan dokumen masih berpengaruh pada kecepatan bayar.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[MEDIUM] Upselling &amp; deepening untuk Kelas A-B performers. SoP: Schedule business review, identify upsell opportunities, propose longer contracts. Retention: Retention kuat; akun sehat bisa dijaga untuk menopang kestabilan cash in jangka menengah. Satisfaction: Satisfaction tinggi memberi ruang untuk cross-sell tanpa menambah risiko pembayaran berarti.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[HIGH] Percepat konversi invoice menjadi kas. SoP: Prioritaskan invoice dengan dokumen lengkap, percepat approval internal, dan gunakan reminder bertahap sebelum jatuh tempo. Retention: Percepatan harus tetap menjaga hubungan akun yang masih bisa diselamatkan. Satisfaction: Hambatan layanan atau administrasi perlu dibersihkan agar klien tidak menunda pembayaran lebih lama.</w:t>
        <w:br/>
        <w:t>=== TIGA TIMELINE PREDIKSI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Short Term (0-30 hari): fokus Likuiditas - Apakah ada cash deficit?; predicted cash in Rp3.283.000.000; predicted cash out Rp206.666.666; ending cash Rp3.576.333.334; sinyal operasional buffer operasional terjaga.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Mid Term (1-3 bulan): fokus Stabilitas operasional; predicted cash in Rp5.416.000.000; predicted cash out Rp606.666.666; ending cash Rp5.309.333.334; sinyal operasional buffer perlu dipantau ketat.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Long Term (3-12 bulan): fokus Growth planning; predicted cash in Rp6.963.000.000; predicted cash out Rp2.440.000.000; ending cash Rp5.023.000.000; sinyal operasional buffer perlu dipantau ketat.</w:t>
        <w:br/>
        <w:t>=== FORMULA END CASH (INTERNAL)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500,000,000 + 5,416,000,000 - 600,000,000 = 5,316,000,000</w:t>
        <w:br/>
        <w:t>=== INTERNAL CASHFLOW HEALTH MODEL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Sinyal operasional: buffer perlu dipantau ketat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Konversi Invoice ke Kas (bobot 20%): skor internal 35.5/100. Rata-rata delay tertimbang 48.1 hari dengan porsi konversi cepat 47.1%.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Coverage (bobot 20%): skor internal 100/100. Rasio cash in terhadap cash out berada di 9.03x.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Likuiditas (bobot 30%): skor internal 88/100. Runway proyeksi 26.6 bulan dengan rasio kas terhadap kewajiban jangka pendek 0.83x.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Risk Exposure (bobot 10%): skor internal 88/100. Konsentrasi partner terbesar 27.7%, layanan terbesar 10.9%, dan porsi kelas D-E 22.2%.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Stabilitas Cashflow (bobot 20%): skor internal 76/100. Visibilitas cash in 77.8% dari outstanding dengan variasi realisasi 0.20 dan porsi pembayaran cepat 60.6%.</w:t>
        <w:br/>
        <w:t>=== TIGA CEK AMAN (INTERNAL)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Cash tersedia saat ini: terjaga. Runway saat ini 2.5 bulan.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Timing cash in dapat dipetakan: terjaga. 77.8% nilai invoice memiliki proyeksi jatuh ke periode/horizon yang dipilih.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Risiko cashflow terkendali: terjaga. Eksposur partner terbesar 27.7% dan porsi high-risk 22.2%.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4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Grafik distribusi historis kelas pembayaran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Prediktif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Dasar Proyeksi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Proyeksi menggunakan pendekatan risk-adjusted berdasarkan campuran kelas pembayaran historis, sehingga hasil harus dibaca sebagai skenario manajemen, bukan kepastian kas masuk.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Base case mewakili perilaku penagihan yang paling mungkin terjadi bila pola historis bertahan, sedangkan upside dan downside menunjukkan ruang perbaikan atau penurunan.</w:t>
      </w:r>
    </w:p>
    <w:p>
      <w:pPr>
        <w:pStyle w:val="Heading3"/>
        <w:jc w:val="left"/>
      </w:pPr>
      <w:r>
        <w:rPr>
          <w:b w:val="0"/>
          <w:i w:val="0"/>
          <w:u w:val="none"/>
        </w:rPr>
        <w:t>Skenario 1-2 Kuartal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Estimasi Realisasi Cash 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terhadap Total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Narasi Manajemen</w:t>
            </w:r>
          </w:p>
        </w:tc>
      </w:tr>
      <w:tr>
        <w:tc>
          <w:tcPr>
            <w:tcW w:type="dxa" w:w="2340"/>
          </w:tcPr>
          <w:p>
            <w:r>
              <w:t>Upside</w:t>
            </w:r>
          </w:p>
        </w:tc>
        <w:tc>
          <w:tcPr>
            <w:tcW w:type="dxa" w:w="2340"/>
          </w:tcPr>
          <w:p>
            <w:r>
              <w:t>Rp 5.682.560.000</w:t>
            </w:r>
          </w:p>
        </w:tc>
        <w:tc>
          <w:tcPr>
            <w:tcW w:type="dxa" w:w="2340"/>
          </w:tcPr>
          <w:p>
            <w:r>
              <w:t>Rp 1.280.440.000</w:t>
            </w:r>
          </w:p>
        </w:tc>
        <w:tc>
          <w:tcPr>
            <w:tcW w:type="dxa" w:w="2340"/>
          </w:tcPr>
          <w:p>
            <w:r>
              <w:t>Terjadi bila perbaikan approval, kelengkapan dokumen, dan penagihan pada akun prioritas dijalankan cepat.</w:t>
            </w:r>
          </w:p>
        </w:tc>
      </w:tr>
      <w:tr>
        <w:tc>
          <w:tcPr>
            <w:tcW w:type="dxa" w:w="2340"/>
          </w:tcPr>
          <w:p>
            <w:r>
              <w:t>Base Case</w:t>
            </w:r>
          </w:p>
        </w:tc>
        <w:tc>
          <w:tcPr>
            <w:tcW w:type="dxa" w:w="2340"/>
          </w:tcPr>
          <w:p>
            <w:r>
              <w:t>Rp 5.140.450.000</w:t>
            </w:r>
          </w:p>
        </w:tc>
        <w:tc>
          <w:tcPr>
            <w:tcW w:type="dxa" w:w="2340"/>
          </w:tcPr>
          <w:p>
            <w:r>
              <w:t>Rp 1.822.550.000</w:t>
            </w:r>
          </w:p>
        </w:tc>
        <w:tc>
          <w:tcPr>
            <w:tcW w:type="dxa" w:w="2340"/>
          </w:tcPr>
          <w:p>
            <w:r>
              <w:t>Menggambarkan realisasi yang paling realistis bila perilaku penagihan tetap mengikuti pola historis saat ini.</w:t>
            </w:r>
          </w:p>
        </w:tc>
      </w:tr>
      <w:tr>
        <w:tc>
          <w:tcPr>
            <w:tcW w:type="dxa" w:w="2340"/>
          </w:tcPr>
          <w:p>
            <w:r>
              <w:t>Downside</w:t>
            </w:r>
          </w:p>
        </w:tc>
        <w:tc>
          <w:tcPr>
            <w:tcW w:type="dxa" w:w="2340"/>
          </w:tcPr>
          <w:p>
            <w:r>
              <w:t>Rp 4.466.650.000</w:t>
            </w:r>
          </w:p>
        </w:tc>
        <w:tc>
          <w:tcPr>
            <w:tcW w:type="dxa" w:w="2340"/>
          </w:tcPr>
          <w:p>
            <w:r>
              <w:t>Rp 2.496.350.000</w:t>
            </w:r>
          </w:p>
        </w:tc>
        <w:tc>
          <w:tcPr>
            <w:tcW w:type="dxa" w:w="2340"/>
          </w:tcPr>
          <w:p>
            <w:r>
              <w:t>Terjadi bila siklus anggaran, likuiditas pelanggan, atau dispute memburuk sehingga semakin banyak invoice bergeser ke kelas risiko tinggi.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Implikasi terhadap Rencana Kas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Base case sebaiknya dipakai sebagai jangkar pembacaan rencana kas jangka pendek, sedangkan upside dan downside dipakai untuk menguji kebutuhan eskalasi dan ruang koreksi target.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Semakin besar eksposur Kelas D/E pada partner bernilai tinggi, semakin besar kebutuhan buffer keputusan, ritme follow-up, dan verifikasi dokumen sebelum asumsi cash in dinaikkan.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Karena masih demo mode, implikasi rencana kas diposisikan sebagai arah diskusi internal, bukan angka forecast final.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Gap cash in pada base case harus dibaca sebagai ruang risiko yang perlu diperkecil lewat penagihan prioritas, bukan langsung diasumsikan akan pulih otomatis.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Rekomendasi Preskriptif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Prinsip Tindakan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Dahulukan invoice bernilai besar dengan skor risiko tinggi dan penyebab yang masih bisa dipulihkan dalam 30 hari.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Pisahkan treatment untuk isu anggaran, approval, administrasi, likuiditas, dan sengketa agar collection effort tidak tersebar terlalu tipis.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Gunakan bukti internal dan jadwal tindak lanjut yang terdokumentasi agar eskalasi ke manajemen klien lebih kuat.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Prasyarat Implementasi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Untuk penggunaan operasional yang lebih kuat, pertahankan minimal 4 slot antrean dan gunakan runtime Waitress pada uji bersama untuk akses internal bersama.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Pastikan ritme refresh data, sumber invoice prioritas, dan jalur eskalasi ke account owner diputuskan sebelum laporan dipakai sebagai dasar action plan mingguan.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Langkah implementasi terdekat adalah memetakan endpoint API internal, autentikasi, dan struktur data source-of-truth agar prioritas penagihan tidak lagi bergantung pada dataset simulasi.</w:t>
      </w:r>
    </w:p>
    <w:p>
      <w:pPr>
        <w:pStyle w:val="Heading3"/>
        <w:jc w:val="left"/>
      </w:pPr>
      <w:r>
        <w:rPr>
          <w:b w:val="0"/>
          <w:i w:val="0"/>
          <w:u w:val="none"/>
        </w:rPr>
        <w:t>Kesiapan Pelaksanaan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Kesiapan pelaksanaan saat ini berada pada tingkat menengah; laporan akan lebih mudah dieksekusi bila sponsor bisnis, finance collection, dan account owner duduk pada forum review yang sama.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Gunakan laporan ini sebagai bahan keputusan internal: apa yang harus ditagih lebih dulu, siapa yang memimpin eskalasi, dan kontrol apa yang wajib ditutup sebelum follow-up berikutnya.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92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 alur rekomendasi mitigasi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Prioritas Tindakan 30 Hari</w:t>
      </w:r>
    </w:p>
    <w:p>
      <w:pPr>
        <w:pStyle w:val="Heading3"/>
        <w:jc w:val="left"/>
      </w:pPr>
      <w:r>
        <w:rPr>
          <w:b w:val="0"/>
          <w:i w:val="0"/>
          <w:u w:val="none"/>
        </w:rPr>
        <w:t>Tabel Prioritas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Prioritas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Fokus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Isu Utama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Aksi 30 Hari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Dampak yang Diharapkan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Swasta (Tech Startup) / Konsultasi Deployment Local LLM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Negosiasikan skema termin, minta komitmen tanggal bayar tertulis, dan siapkan eskalasi manajemen untuk akun rentan.</w:t>
            </w:r>
          </w:p>
        </w:tc>
        <w:tc>
          <w:tcPr>
            <w:tcW w:type="dxa" w:w="1560"/>
          </w:tcPr>
          <w:p>
            <w:r>
              <w:t>Meningkatkan peluang pemulihan cash in pada akun yang menghadapi tekanan likuiditas.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Swasta (Corporate) / Consulting Data Governance</w:t>
            </w:r>
          </w:p>
        </w:tc>
        <w:tc>
          <w:tcPr>
            <w:tcW w:type="dxa" w:w="1560"/>
          </w:tcPr>
          <w:p>
            <w:r>
              <w:t>Project Lead + Finance Manager</w:t>
            </w:r>
          </w:p>
        </w:tc>
        <w:tc>
          <w:tcPr>
            <w:tcW w:type="dxa" w:w="1560"/>
          </w:tcPr>
          <w:p>
            <w:r>
              <w:t>Sengketa atau klarifikasi</w:t>
            </w:r>
          </w:p>
        </w:tc>
        <w:tc>
          <w:tcPr>
            <w:tcW w:type="dxa" w:w="1560"/>
          </w:tcPr>
          <w:p>
            <w:r>
              <w:t>Tutup ruang lingkup yang disengketakan, dokumentasikan keputusan bersama, dan tahan ekspansi pekerjaan sampai dispute selesai.</w:t>
            </w:r>
          </w:p>
        </w:tc>
        <w:tc>
          <w:tcPr>
            <w:tcW w:type="dxa" w:w="1560"/>
          </w:tcPr>
          <w:p>
            <w:r>
              <w:t>Membuka blokir pembayaran yang tertahan karena ketidakjelasan ruang lingkup atau deliverable.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Swasta (Tech Startup) / Advisory MLOps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Negosiasikan skema termin, minta komitmen tanggal bayar tertulis, dan siapkan eskalasi manajemen untuk akun rentan.</w:t>
            </w:r>
          </w:p>
        </w:tc>
        <w:tc>
          <w:tcPr>
            <w:tcW w:type="dxa" w:w="1560"/>
          </w:tcPr>
          <w:p>
            <w:r>
              <w:t>Meningkatkan peluang pemulihan cash in pada akun yang menghadapi tekanan likuiditas.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Swasta (Tech Startup) / Bootcamp Data Science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Negosiasikan skema termin, minta komitmen tanggal bayar tertulis, dan siapkan eskalasi manajemen untuk akun rentan.</w:t>
            </w:r>
          </w:p>
        </w:tc>
        <w:tc>
          <w:tcPr>
            <w:tcW w:type="dxa" w:w="1560"/>
          </w:tcPr>
          <w:p>
            <w:r>
              <w:t>Meningkatkan peluang pemulihan cash in pada akun yang menghadapi tekanan likuiditas.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Instansi Pemerintah / Audit SPBE</w:t>
            </w:r>
          </w:p>
        </w:tc>
        <w:tc>
          <w:tcPr>
            <w:tcW w:type="dxa" w:w="1560"/>
          </w:tcPr>
          <w:p>
            <w:r>
              <w:t>Finance Collection +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Validasi posisi anggaran dan jadwal pencairan dengan PIC klien, lalu siapkan eskalasi sebelum cut-off termin.</w:t>
            </w:r>
          </w:p>
        </w:tc>
        <w:tc>
          <w:tcPr>
            <w:tcW w:type="dxa" w:w="1560"/>
          </w:tcPr>
          <w:p>
            <w:r>
              <w:t>Memperjelas kapan invoice realistis dapat direalisasikan dan menurunkan slip karena siklus anggaran.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Pemerintahan Daerah / Bimtek AI Governance</w:t>
            </w:r>
          </w:p>
        </w:tc>
        <w:tc>
          <w:tcPr>
            <w:tcW w:type="dxa" w:w="1560"/>
          </w:tcPr>
          <w:p>
            <w:r>
              <w:t>Finance Collection +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Validasi posisi anggaran dan jadwal pencairan dengan PIC klien, lalu siapkan eskalasi sebelum cut-off termin.</w:t>
            </w:r>
          </w:p>
        </w:tc>
        <w:tc>
          <w:tcPr>
            <w:tcW w:type="dxa" w:w="1560"/>
          </w:tcPr>
          <w:p>
            <w:r>
              <w:t>Memperjelas kapan invoice realistis dapat direalisasikan dan menurunkan slip karena siklus anggaran.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Catatan Pelaksanaan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Tetapkan owner utama per akun prioritas dan review statusnya minimal mingguan.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Gunakan rapat internal untuk memastikan hambatan administratif dan eskalasi ke klien ditutup dengan tenggat yang jelas.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Konsolidasikan hasil follow-up ke finance collection, account owner, dan sponsor bisnis agar keputusan rapat langsung dapat dieksekusi.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9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 alur rekomendasi mitigasi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E6E6E"/>
        <w:sz w:val="18"/>
      </w:rPr>
    </w:r>
    <w:r>
      <w:rPr>
        <w:rFonts w:ascii="Calibri" w:hAnsi="Calibri"/>
        <w:color w:val="6E6E6E"/>
        <w:sz w:val="18"/>
      </w:rPr>
      <w:t xml:space="preserve">STRICTLY CONFIDENTIAL | Page </w:t>
    </w:r>
    <w:r>
      <w:rPr>
        <w:rFonts w:ascii="Calibri" w:hAnsi="Calibri"/>
        <w:color w:val="6E6E6E"/>
        <w:sz w:val="18"/>
      </w:rPr>
      <w:fldChar w:fldCharType="begin"/>
    </w:r>
    <w:r>
      <w:rPr>
        <w:rFonts w:ascii="Calibri" w:hAnsi="Calibri"/>
        <w:color w:val="6E6E6E"/>
        <w:sz w:val="18"/>
      </w:rPr>
      <w:instrText xml:space="preserve">PAGE</w:instrText>
    </w:r>
    <w:r>
      <w:rPr>
        <w:rFonts w:ascii="Calibri" w:hAnsi="Calibri"/>
        <w:color w:val="6E6E6E"/>
        <w:sz w:val="18"/>
      </w:rPr>
      <w:fldChar w:fldCharType="separate"/>
    </w:r>
    <w:r>
      <w:rPr>
        <w:rFonts w:ascii="Calibri" w:hAnsi="Calibri"/>
        <w:color w:val="6E6E6E"/>
        <w:sz w:val="18"/>
      </w:rPr>
      <w:t>1</w:t>
    </w:r>
    <w:r>
      <w:rPr>
        <w:rFonts w:ascii="Calibri" w:hAnsi="Calibri"/>
        <w:color w:val="6E6E6E"/>
        <w:sz w:val="18"/>
      </w:rPr>
      <w:fldChar w:fldCharType="end"/>
    </w:r>
    <w:r>
      <w:rPr>
        <w:rFonts w:ascii="Calibri" w:hAnsi="Calibri"/>
        <w:color w:val="6E6E6E"/>
        <w:sz w:val="18"/>
      </w:rPr>
      <w:t xml:space="preserve"> of </w:t>
    </w:r>
    <w:r>
      <w:rPr>
        <w:rFonts w:ascii="Calibri" w:hAnsi="Calibri"/>
        <w:color w:val="6E6E6E"/>
        <w:sz w:val="18"/>
      </w:rPr>
      <w:fldChar w:fldCharType="begin"/>
    </w:r>
    <w:r>
      <w:rPr>
        <w:rFonts w:ascii="Calibri" w:hAnsi="Calibri"/>
        <w:color w:val="6E6E6E"/>
        <w:sz w:val="18"/>
      </w:rPr>
      <w:instrText xml:space="preserve">NUMPAGES</w:instrText>
    </w:r>
    <w:r>
      <w:rPr>
        <w:rFonts w:ascii="Calibri" w:hAnsi="Calibri"/>
        <w:color w:val="6E6E6E"/>
        <w:sz w:val="18"/>
      </w:rPr>
      <w:fldChar w:fldCharType="separate"/>
    </w:r>
    <w:r>
      <w:rPr>
        <w:rFonts w:ascii="Calibri" w:hAnsi="Calibri"/>
        <w:color w:val="6E6E6E"/>
        <w:sz w:val="18"/>
      </w:rPr>
      <w:t>1</w:t>
    </w:r>
    <w:r>
      <w:rPr>
        <w:rFonts w:ascii="Calibri" w:hAnsi="Calibri"/>
        <w:color w:val="6E6E6E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787878"/>
        <w:sz w:val="16"/>
      </w:rPr>
    </w:r>
    <w:r>
      <w:rPr>
        <w:rFonts w:ascii="Calibri" w:hAnsi="Calibri"/>
        <w:color w:val="787878"/>
        <w:sz w:val="16"/>
      </w:rPr>
      <w:t>INIXINDO JOGJA | INTERNAL FINANCE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  <w:jc w:val="both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CC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/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/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Inixindo Cash In Intelligence Report</dc:title>
  <dc:subject>Internal Cash In Intelligence Report</dc:subject>
  <dc:creator>Inixindo Jogja - Finance &amp; Revenue Optimization Division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Finance</cp:category>
</cp:coreProperties>
</file>