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Arsitektur Sistem AI</w:t>
      </w:r>
    </w:p>
    <w:p>
      <w:pPr>
        <w:jc w:val="center"/>
      </w:pPr>
      <w:r>
        <w:rPr>
          <w:color w:val="1D4ED8"/>
          <w:sz w:val="26"/>
        </w:rPr>
        <w:t>Use Case 3 - Payment/Cashflow Report</w:t>
      </w:r>
    </w:p>
    <w:p>
      <w:pPr>
        <w:jc w:val="center"/>
      </w:pPr>
      <w:r>
        <w:rPr>
          <w:color w:val="6B7280"/>
          <w:sz w:val="18"/>
        </w:rPr>
        <w:t>Dokumen handover | 31 Mei 2026</w:t>
      </w:r>
    </w:p>
    <w:p/>
    <w:p>
      <w:pPr>
        <w:pStyle w:val="Heading1"/>
      </w:pPr>
      <w:r>
        <w:rPr>
          <w:rFonts w:ascii="Aptos Display" w:hAnsi="Aptos Display"/>
          <w:color w:val="1F2937"/>
        </w:rPr>
        <w:t>Ringkasan Use Case</w:t>
      </w:r>
    </w:p>
    <w:p>
      <w:pPr>
        <w:spacing w:after="120" w:line="259" w:lineRule="auto"/>
      </w:pPr>
      <w:r>
        <w:rPr>
          <w:sz w:val="20"/>
        </w:rPr>
        <w:t>Payment/Cashflow Report atau Cash In Intelligence membantu tim finance dan manajemen membaca kondisi invoice, risiko pembayaran, proyeksi cashflow, dan prioritas penagihan. Sistem memakai FinanceInvoice sebagai dataset utama, memperkaya perilaku pembayaran dengan ReferenceAccount bila cocok, lalu menghasilkan dashboard, forecast, drilldown, dan laporan DOCX.</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Pengguna utama</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Tim finance, manajemen, operator data, dan admin aplikasi.</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Output utama</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Dashboard cashflow, forecast horizon, drilldown overdue, tren kelas pembayaran, dan laporan manajemen DOCX.</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Sumber kebenaran utama</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FinanceInvoice untuk data invoice; ReferenceAccount sebagai referensi perilaku akun/pembayaran.</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Komponen AI utama</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CashflowForecaster, PaymentBehaviorAnalyzer, FinancialAnalyzer, CashflowIntelligenceDesk, ReportPromptBuilder, Ollama LLM/embedding.</w:t>
            </w:r>
          </w:p>
        </w:tc>
      </w:tr>
    </w:tbl>
    <w:p/>
    <w:p>
      <w:pPr>
        <w:pStyle w:val="Heading1"/>
      </w:pPr>
      <w:r>
        <w:rPr>
          <w:rFonts w:ascii="Aptos Display" w:hAnsi="Aptos Display"/>
          <w:color w:val="1F2937"/>
        </w:rPr>
        <w:t>Ruang Lingkup Arsitektur</w:t>
      </w:r>
    </w:p>
    <w:p>
      <w:pPr>
        <w:pStyle w:val="ListBullet"/>
        <w:spacing w:after="60"/>
      </w:pPr>
      <w:r>
        <w:rPr>
          <w:sz w:val="19"/>
        </w:rPr>
        <w:t>Arsitektur dibatasi pada konteks use case aplikasi, bukan arsitektur organisasi Inixindo secara luas.</w:t>
      </w:r>
    </w:p>
    <w:p>
      <w:pPr>
        <w:pStyle w:val="ListBullet"/>
        <w:spacing w:after="60"/>
      </w:pPr>
      <w:r>
        <w:rPr>
          <w:sz w:val="19"/>
        </w:rPr>
        <w:t>Kerangka layer mengikuti struktur TOGAF kontekstual: strategi bisnis, proses bisnis, dan teknologi.</w:t>
      </w:r>
    </w:p>
    <w:p>
      <w:pPr>
        <w:pStyle w:val="ListBullet"/>
        <w:spacing w:after="60"/>
      </w:pPr>
      <w:r>
        <w:rPr>
          <w:sz w:val="19"/>
        </w:rPr>
        <w:t>Use case model UML disediakan sebagai file PlantUML terpisah dan tidak disematkan dalam dokumen ini.</w:t>
      </w:r>
    </w:p>
    <w:p>
      <w:pPr>
        <w:pStyle w:val="Heading1"/>
      </w:pPr>
      <w:r>
        <w:rPr>
          <w:rFonts w:ascii="Aptos Display" w:hAnsi="Aptos Display"/>
          <w:color w:val="1F2937"/>
        </w:rPr>
        <w:t>Arsitektur Sistem AI Berbasis TOGAF</w:t>
      </w:r>
    </w:p>
    <w:p>
      <w:pPr>
        <w:pStyle w:val="Heading2"/>
      </w:pPr>
      <w:r>
        <w:rPr>
          <w:rFonts w:ascii="Aptos Display" w:hAnsi="Aptos Display"/>
          <w:color w:val="1F2937"/>
        </w:rPr>
        <w:t>Layer Strategi Bisnis</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Tujuan bisnis</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Membantu manajemen memprioritaskan penagihan, membaca risiko pembayaran, dan memperkirakan tekanan cashflow.</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Nilai bisnis</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Invoice dan perilaku pembayaran diterjemahkan menjadi insight deskriptif, diagnostik, prediktif, dan preskriptif.</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Keputusan yang didukung</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Prioritas follow-up, risiko overdue, exposure partner/layanan, horizon cash in/out, dan tindakan pengendalian kas.</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Indikator keberhasilan</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Dataset FinanceInvoice aktif, field wajib terbaca, ReferenceAccount dipakai untuk enrichment, forecast berjalan, dan laporan DOCX selesai.</w:t>
            </w:r>
          </w:p>
        </w:tc>
      </w:tr>
    </w:tbl>
    <w:p/>
    <w:p>
      <w:pPr>
        <w:pStyle w:val="Heading2"/>
      </w:pPr>
      <w:r>
        <w:rPr>
          <w:rFonts w:ascii="Aptos Display" w:hAnsi="Aptos Display"/>
          <w:color w:val="1F2937"/>
        </w:rPr>
        <w:t>Layer Proses Bisnis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D4ED8"/>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Proses</w:t>
            </w:r>
          </w:p>
        </w:tc>
        <w:tc>
          <w:tcPr>
            <w:tcW w:type="dxa" w:w="3408"/>
            <w:vAlign w:val="top"/>
            <w:shd w:fill="1D4ED8"/>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Aktor / Pemilik</w:t>
            </w:r>
          </w:p>
        </w:tc>
        <w:tc>
          <w:tcPr>
            <w:tcW w:type="dxa" w:w="3408"/>
            <w:vAlign w:val="top"/>
            <w:shd w:fill="1D4ED8"/>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Output</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Autentikasi dan akses</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User finance / admin</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Dashboard hanya dapat diakses oleh user valid.</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Validasi sumber data</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Operator data</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Connectivity, auth shape, records path, field mapping, dan activation readiness terverifikasi.</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Refresh data invoice</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Sistem / operator</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FinanceInvoice diambil dari internal API dan dinormalisasi ke skema finansial.</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Enrichment akun</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Sistem / ReferenceAccount</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Kelas pembayaran dan catatan perilaku diisi dari referensi akun jika company_id/nama cocok.</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Forecast dan drilldown</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User finance / sistem</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Cash in/out, ending cash, overdue, payment-class trend, dan concentration risk.</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Generate laporan</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Sistem AI / Ollama</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Laporan manajemen DOCX dengan narasi executive-first dan kontrol kualitas.</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Monitoring health</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Operator / infra</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Status job, freshness data, auth security, dan sync status dipantau.</w:t>
            </w:r>
          </w:p>
        </w:tc>
      </w:tr>
    </w:tbl>
    <w:p/>
    <w:p>
      <w:pPr>
        <w:pStyle w:val="Heading2"/>
      </w:pPr>
      <w:r>
        <w:rPr>
          <w:rFonts w:ascii="Aptos Display" w:hAnsi="Aptos Display"/>
          <w:color w:val="1F2937"/>
        </w:rPr>
        <w:t>Layer Teknologi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047857"/>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Domain</w:t>
            </w:r>
          </w:p>
        </w:tc>
        <w:tc>
          <w:tcPr>
            <w:tcW w:type="dxa" w:w="3408"/>
            <w:vAlign w:val="top"/>
            <w:shd w:fill="047857"/>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Komponen</w:t>
            </w:r>
          </w:p>
        </w:tc>
        <w:tc>
          <w:tcPr>
            <w:tcW w:type="dxa" w:w="3408"/>
            <w:vAlign w:val="top"/>
            <w:shd w:fill="047857"/>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Peran dalam Use Case</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Interface</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Flask routes modular, templates/auth.html, templates/index.html, settings/data-source UI</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Menyediakan login, dashboard forecast, drilldown, generate report, dan validasi data source.</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Model</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CashflowForecaster, PaymentBehaviorAnalyzer, FinancialAnalyzer, CashflowIntelligenceDesk, Ollama LLM, bge-m3 embedding</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Menghitung forecast, membaca kelas pembayaran, menyusun narasi laporan, dan melakukan retrieval evidence.</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Data</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FinanceInvoice, ReferenceAccount, SQLite finance_predictor.db, ChromaDB, report job DB, generated_reports, cash out context</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Menyediakan invoice utama, enrichment akun, cache analitik, evidence vector, state job, dan artefak laporan.</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API</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/api/forecast, /api/forecast/by-horizon, drilldown endpoints, /generate, /jobs/&lt;id&gt;, /api/data-source/*, /health, Internal APIDog /api/Resource/dataset, Serper/Ollama web search</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Menghubungkan dashboard, forecast, report job, aktivasi sumber data internal, OSINT, dan health runtime.</w:t>
            </w:r>
          </w:p>
        </w:tc>
      </w:tr>
      <w:tr>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Server</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VPS, payment-app.service, Waitress/Flask, Nginx HTTPS, Ollama service, persistent artifact/job paths</w:t>
            </w:r>
          </w:p>
        </w:tc>
        <w:tc>
          <w:tcPr>
            <w:tcW w:type="dxa" w:w="3408"/>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Menjalankan aplikasi, antrean report, model AI, dan penyimpanan hasil produksi.</w:t>
            </w:r>
          </w:p>
        </w:tc>
      </w:tr>
    </w:tbl>
    <w:p/>
    <w:p>
      <w:pPr>
        <w:pStyle w:val="Heading2"/>
      </w:pPr>
      <w:r>
        <w:rPr>
          <w:rFonts w:ascii="Aptos Display" w:hAnsi="Aptos Display"/>
          <w:color w:val="1F2937"/>
        </w:rPr>
        <w:t>Peta Layer TOGAF Kontekstual</w:t>
      </w:r>
    </w:p>
    <w:tbl>
      <w:tblPr>
        <w:tblW w:type="auto" w:w="0"/>
        <w:jc w:val="center"/>
        <w:tblLook w:firstColumn="1" w:firstRow="1" w:lastColumn="0" w:lastRow="0" w:noHBand="0" w:noVBand="1" w:val="04A0"/>
      </w:tblPr>
      <w:tblGrid>
        <w:gridCol w:w="10224"/>
      </w:tblGrid>
      <w:tr>
        <w:tc>
          <w:tcPr>
            <w:tcW w:type="dxa" w:w="10224"/>
            <w:shd w:fill="DBEAFE"/>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color w:val="1F2937"/>
                <w:sz w:val="20"/>
              </w:rPr>
              <w:t>1. Layer Strategi Bisnis</w:t>
              <w:br/>
            </w:r>
            <w:r>
              <w:rPr>
                <w:sz w:val="18"/>
              </w:rPr>
              <w:t>Target bisnisnya adalah membantu pimpinan melihat risiko pembayaran dan posisi cashflow secara cepat sebelum menentukan prioritas penagihan.</w:t>
            </w:r>
          </w:p>
        </w:tc>
      </w:tr>
      <w:tr>
        <w:tc>
          <w:tcPr>
            <w:tcW w:type="dxa" w:w="10224"/>
            <w:shd w:fill="D1FAE5"/>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color w:val="1F2937"/>
                <w:sz w:val="20"/>
              </w:rPr>
              <w:t>2. Layer Proses Bisnis</w:t>
              <w:br/>
            </w:r>
            <w:r>
              <w:rPr>
                <w:sz w:val="18"/>
              </w:rPr>
              <w:t>Prosesnya dimulai dari validasi data source, refresh invoice, enrichment ReferenceAccount, forecast/drilldown, generate report, lalu monitoring readiness.</w:t>
            </w:r>
          </w:p>
        </w:tc>
      </w:tr>
      <w:tr>
        <w:tc>
          <w:tcPr>
            <w:tcW w:type="dxa" w:w="10224"/>
            <w:shd w:fill="FEF3C7"/>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r/>
            <w:r>
              <w:rPr>
                <w:b/>
                <w:color w:val="1F2937"/>
                <w:sz w:val="20"/>
              </w:rPr>
              <w:t>3. Layer Teknologi</w:t>
              <w:br/>
            </w:r>
            <w:r>
              <w:rPr>
                <w:sz w:val="18"/>
              </w:rPr>
              <w:t>Teknologinya terdiri dari UI Flask modular, engine forecast/report, data FinanceInvoice/ReferenceAccount/cache, API internal dan forecast, serta VPS dengan Ollama.</w:t>
            </w:r>
          </w:p>
        </w:tc>
      </w:tr>
    </w:tbl>
    <w:p/>
    <w:p>
      <w:pPr>
        <w:pStyle w:val="Heading2"/>
      </w:pPr>
      <w:r>
        <w:rPr>
          <w:rFonts w:ascii="Aptos Display" w:hAnsi="Aptos Display"/>
          <w:color w:val="1F2937"/>
        </w:rPr>
        <w:t>Catatan Handover Teknis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B45309"/>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Area</w:t>
            </w:r>
          </w:p>
        </w:tc>
        <w:tc>
          <w:tcPr>
            <w:tcW w:type="dxa" w:w="5112"/>
            <w:vAlign w:val="top"/>
            <w:shd w:fill="B45309"/>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jc w:val="left"/>
            </w:pPr>
            <w:r/>
            <w:r>
              <w:rPr>
                <w:b/>
                <w:color w:val="FFFFFF"/>
                <w:sz w:val="18"/>
              </w:rPr>
              <w:t>Catatan</w:t>
            </w:r>
          </w:p>
        </w:tc>
      </w:tr>
      <w:tr>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Runtime</w:t>
            </w:r>
          </w:p>
        </w:tc>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Aplikasi berjalan sebagai payment-app.service di VPS dengan Waitress/Flask, Nginx, dan Ollama untuk LLM/embedding.</w:t>
            </w:r>
          </w:p>
        </w:tc>
      </w:tr>
      <w:tr>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Readiness</w:t>
            </w:r>
          </w:p>
        </w:tc>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Gunakan /health serta flow doctor/data-source untuk memastikan connectivity, auth, records path, field mapping, dan activation readiness.</w:t>
            </w:r>
          </w:p>
        </w:tc>
      </w:tr>
      <w:tr>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Internal API</w:t>
            </w:r>
          </w:p>
        </w:tc>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FinanceInvoice adalah dataset utama untuk invoice. ReferenceAccount dipakai sebagai referensi perilaku akun, bukan pengganti invoice.</w:t>
            </w:r>
          </w:p>
        </w:tc>
      </w:tr>
      <w:tr>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Dokumen</w:t>
            </w:r>
          </w:p>
        </w:tc>
        <w:tc>
          <w:tcPr>
            <w:tcW w:type="dxa" w:w="5112"/>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Report job menghasilkan DOCX dan disimpan di artifact directory; UI mengunduh dari endpoint job download.</w:t>
            </w:r>
          </w:p>
        </w:tc>
      </w:tr>
    </w:tbl>
    <w:p/>
    <w:p>
      <w:pPr>
        <w:pStyle w:val="Heading2"/>
      </w:pPr>
      <w:r>
        <w:rPr>
          <w:rFonts w:ascii="Aptos Display" w:hAnsi="Aptos Display"/>
          <w:color w:val="1F2937"/>
        </w:rPr>
        <w:t>Batasan dan Kontrol</w:t>
      </w:r>
    </w:p>
    <w:p>
      <w:pPr>
        <w:pStyle w:val="ListBullet"/>
        <w:spacing w:after="60"/>
      </w:pPr>
      <w:r>
        <w:rPr>
          <w:sz w:val="19"/>
        </w:rPr>
        <w:t>Forecast penuh tetap membutuhkan nilai invoice, periode, layanan, dan identitas pembayaran dari FinanceInvoice.</w:t>
      </w:r>
    </w:p>
    <w:p>
      <w:pPr>
        <w:pStyle w:val="ListBullet"/>
        <w:spacing w:after="60"/>
      </w:pPr>
      <w:r>
        <w:rPr>
          <w:sz w:val="19"/>
        </w:rPr>
        <w:t>ReferenceAccount memperkaya kelas pembayaran ketika matching akun tersedia; hasil tetap perlu verifikasi finance sebelum keputusan eksternal.</w:t>
      </w:r>
    </w:p>
    <w:p>
      <w:pPr>
        <w:pStyle w:val="ListBullet"/>
        <w:spacing w:after="60"/>
      </w:pPr>
      <w:r>
        <w:rPr>
          <w:sz w:val="19"/>
        </w:rPr>
        <w:t>OSINT dipakai sebagai konteks tambahan dan tidak boleh menggantikan data invoice internal.</w:t>
      </w:r>
    </w:p>
    <w:p>
      <w:pPr>
        <w:pStyle w:val="Heading1"/>
      </w:pPr>
      <w:r>
        <w:rPr>
          <w:rFonts w:ascii="Aptos Display" w:hAnsi="Aptos Display"/>
          <w:color w:val="1F2937"/>
        </w:rPr>
        <w:t>Lampiran Artefak Terkait</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File arsitektur</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uc3-arsitektur-sistem-ai-payment-cashflow-report.docx</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File UML use case</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uc3-use-case-model-payment-cashflow-report.puml</w:t>
            </w:r>
          </w:p>
        </w:tc>
      </w:tr>
      <w:tr>
        <w:tc>
          <w:tcPr>
            <w:tcW w:type="dxa" w:w="2880"/>
            <w:vAlign w:val="top"/>
            <w:shd w:fill="F3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color w:val="1F2937"/>
                <w:sz w:val="18"/>
              </w:rPr>
              <w:t>Format UML</w:t>
            </w:r>
          </w:p>
        </w:tc>
        <w:tc>
          <w:tcPr>
            <w:tcW w:type="dxa" w:w="6336"/>
            <w:vAlign w:val="top"/>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Pr>
          <w:p>
            <w:pPr>
              <w:jc w:val="left"/>
            </w:pPr>
            <w:r/>
            <w:r>
              <w:rPr>
                <w:b w:val="0"/>
                <w:sz w:val="18"/>
              </w:rPr>
              <w:t>PlantUML source (.puml), dapat dirender dengan PlantUML atau plugin UML yang mendukung syntax usecase.</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Arsitektur Sistem AI - Use Case 3 - Payment/Cashflow Report</dc:title>
  <dc:subject>Handover arsitektur AI berbasis TOGAF</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