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787878"/>
          <w:sz w:val="20"/>
        </w:rPr>
        <w:t>STRICTLY CONFIDENTIAL</w:t>
      </w:r>
    </w:p>
    <w:p/>
    <w:p>
      <w:pPr>
        <w:jc w:val="center"/>
      </w:pPr>
      <w:r>
        <w:rPr>
          <w:rFonts w:ascii="Calibri" w:hAnsi="Calibri"/>
          <w:b/>
          <w:sz w:val="44"/>
        </w:rPr>
        <w:t>CASH IN INTELLIGENCE REPORT</w:t>
      </w:r>
    </w:p>
    <w:p>
      <w:pPr>
        <w:jc w:val="center"/>
      </w:pPr>
      <w:r>
        <w:rPr>
          <w:rFonts w:ascii="Calibri" w:hAnsi="Calibri"/>
          <w:b/>
          <w:color w:val="CC0000"/>
          <w:sz w:val="68"/>
        </w:rPr>
        <w:t>INIXINDO JOGJA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Cakupan Data</w:t>
            </w:r>
          </w:p>
        </w:tc>
        <w:tc>
          <w:tcPr>
            <w:tcW w:type="dxa" w:w="4680"/>
          </w:tcPr>
          <w:p>
            <w:r>
              <w:t>Seluruh histori invoice dan catatan penagihan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Tipe Laporan</w:t>
            </w:r>
          </w:p>
        </w:tc>
        <w:tc>
          <w:tcPr>
            <w:tcW w:type="dxa" w:w="4680"/>
          </w:tcPr>
          <w:p>
            <w:r>
              <w:t>Analisis deskriptif, diagnostik, prediktif, dan preskriptif cash in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Tanggal Generasi</w:t>
            </w:r>
          </w:p>
        </w:tc>
        <w:tc>
          <w:tcPr>
            <w:tcW w:type="dxa" w:w="4680"/>
          </w:tcPr>
          <w:p>
            <w:r>
              <w:t>30 March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Disusun Oleh</w:t>
            </w:r>
          </w:p>
        </w:tc>
        <w:tc>
          <w:tcPr>
            <w:tcW w:type="dxa" w:w="4680"/>
          </w:tcPr>
          <w:p>
            <w:r>
              <w:t>Inixindo Jogja - Finance &amp; Revenue Optimization Division</w:t>
            </w:r>
          </w:p>
        </w:tc>
      </w:tr>
    </w:tbl>
    <w:p>
      <w:r>
        <w:br w:type="page"/>
      </w:r>
    </w:p>
    <w:p>
      <w:pPr>
        <w:pStyle w:val="Heading1"/>
      </w:pPr>
      <w:r>
        <w:t>Daftar Isi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Klik kanan lalu pilih Update Field untuk memuat daftar isi.</w:t>
      </w:r>
      <w:r>
        <w:fldChar w:fldCharType="end"/>
      </w:r>
    </w:p>
    <w:p>
      <w:pPr>
        <w:jc w:val="left"/>
      </w:pPr>
      <w:r>
        <w:rPr>
          <w:i/>
          <w:sz w:val="20"/>
        </w:rPr>
        <w:t>Catatan: jika daftar isi belum muncul, klik kanan pada area daftar isi lalu pilih Update Field.</w:t>
      </w:r>
    </w:p>
    <w:p>
      <w:r>
        <w:br w:type="page"/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Ringkasan Eksekutif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Kondisi Cash‑In Saat Ini</w:t>
      </w:r>
    </w:p>
    <w:p>
      <w:pPr>
        <w:pStyle w:val="ListBullet"/>
        <w:jc w:val="left"/>
      </w:pPr>
      <w:r>
        <w:rPr>
          <w:b/>
          <w:i w:val="0"/>
          <w:u w:val="none"/>
        </w:rPr>
        <w:t>Total invoice yang dianalisis:</w:t>
      </w:r>
      <w:r>
        <w:rPr>
          <w:b w:val="0"/>
          <w:i w:val="0"/>
          <w:u w:val="none"/>
        </w:rPr>
        <w:t xml:space="preserve"> 49</w:t>
      </w:r>
    </w:p>
    <w:p>
      <w:pPr>
        <w:pStyle w:val="ListBullet"/>
        <w:jc w:val="left"/>
      </w:pPr>
      <w:r>
        <w:rPr>
          <w:b/>
          <w:i w:val="0"/>
          <w:u w:val="none"/>
        </w:rPr>
        <w:t>Nilai total invoice:</w:t>
      </w:r>
      <w:r>
        <w:rPr>
          <w:b w:val="0"/>
          <w:i w:val="0"/>
          <w:u w:val="none"/>
        </w:rPr>
        <w:t xml:space="preserve"> Rp 6.963.000.000</w:t>
      </w:r>
    </w:p>
    <w:p>
      <w:pPr>
        <w:pStyle w:val="ListBullet"/>
        <w:jc w:val="left"/>
      </w:pPr>
      <w:r>
        <w:rPr>
          <w:b/>
          <w:i w:val="0"/>
          <w:u w:val="none"/>
        </w:rPr>
        <w:t>Invoice terlambat:</w:t>
      </w:r>
      <w:r>
        <w:rPr>
          <w:b w:val="0"/>
          <w:i w:val="0"/>
          <w:u w:val="none"/>
        </w:rPr>
        <w:t xml:space="preserve"> 40 kasus (81,6 %); nilai tertunda Rp 5.650.000.000</w:t>
      </w:r>
    </w:p>
    <w:p>
      <w:pPr>
        <w:pStyle w:val="ListBullet"/>
        <w:jc w:val="left"/>
      </w:pPr>
      <w:r>
        <w:rPr>
          <w:b/>
          <w:i w:val="0"/>
          <w:u w:val="none"/>
        </w:rPr>
        <w:t>Eksposur risiko tinggi (Kelas D/E):</w:t>
      </w:r>
      <w:r>
        <w:rPr>
          <w:b w:val="0"/>
          <w:i w:val="0"/>
          <w:u w:val="none"/>
        </w:rPr>
        <w:t xml:space="preserve"> 11 invoice (22,4 %) senilai Rp 1.547.000.000</w:t>
      </w:r>
    </w:p>
    <w:p>
      <w:pPr>
        <w:pStyle w:val="ListBullet"/>
        <w:jc w:val="left"/>
      </w:pPr>
      <w:r>
        <w:rPr>
          <w:b/>
          <w:i w:val="0"/>
          <w:u w:val="none"/>
        </w:rPr>
        <w:t>Skor risiko penagihan rata‑rata:</w:t>
      </w:r>
      <w:r>
        <w:rPr>
          <w:b w:val="0"/>
          <w:i w:val="0"/>
          <w:u w:val="none"/>
        </w:rPr>
        <w:t xml:space="preserve"> 2,56 (penurunan 0,11 poin dibanding Q2 2026 → Q3 2026) – menandakan perbaikan kualitas koleksi.</w:t>
      </w:r>
    </w:p>
    <w:p>
      <w:pPr>
        <w:pStyle w:val="ListBullet"/>
        <w:jc w:val="left"/>
      </w:pPr>
      <w:r>
        <w:rPr>
          <w:b/>
          <w:i w:val="0"/>
          <w:u w:val="none"/>
        </w:rPr>
        <w:t>Estimasi cash‑in risk‑adjusted (base case):</w:t>
      </w:r>
      <w:r>
        <w:rPr>
          <w:b w:val="0"/>
          <w:i w:val="0"/>
          <w:u w:val="none"/>
        </w:rPr>
        <w:t xml:space="preserve"> Rp 5.140.450.000 (73,8 % dari total invoice) → </w:t>
      </w:r>
      <w:r>
        <w:rPr>
          <w:b/>
          <w:i w:val="0"/>
          <w:u w:val="none"/>
        </w:rPr>
        <w:t>gap cash‑in:</w:t>
      </w:r>
      <w:r>
        <w:rPr>
          <w:b w:val="0"/>
          <w:i w:val="0"/>
          <w:u w:val="none"/>
        </w:rPr>
        <w:t xml:space="preserve"> Rp 1.822.550.000.</w:t>
      </w:r>
    </w:p>
    <w:p>
      <w:pPr>
        <w:pStyle w:val="Heading3"/>
        <w:jc w:val="left"/>
      </w:pPr>
      <w:r>
        <w:rPr>
          <w:b w:val="0"/>
          <w:i w:val="0"/>
          <w:u w:val="none"/>
        </w:rPr>
        <w:t>Bottleneck Penagihan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Penyebab utama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Frekuensi catatan historis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Contoh internal</w:t>
            </w:r>
          </w:p>
        </w:tc>
      </w:tr>
      <w:tr>
        <w:tc>
          <w:tcPr>
            <w:tcW w:type="dxa" w:w="3120"/>
          </w:tcPr>
          <w:p>
            <w:r>
              <w:t>Likuiditas pelanggan</w:t>
            </w:r>
          </w:p>
        </w:tc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“Tech Startup – likuiditas rendah, invoice Rp 180 jt ditahan”</w:t>
            </w:r>
          </w:p>
        </w:tc>
      </w:tr>
      <w:tr>
        <w:tc>
          <w:tcPr>
            <w:tcW w:type="dxa" w:w="3120"/>
          </w:tcPr>
          <w:p>
            <w:r>
              <w:t>Siklus anggaran pemerintah</w:t>
            </w:r>
          </w:p>
        </w:tc>
        <w:tc>
          <w:tcPr>
            <w:tcW w:type="dxa" w:w="3120"/>
          </w:tcPr>
          <w:p>
            <w:r>
              <w:t>11</w:t>
            </w:r>
          </w:p>
        </w:tc>
        <w:tc>
          <w:tcPr>
            <w:tcW w:type="dxa" w:w="3120"/>
          </w:tcPr>
          <w:p>
            <w:r>
              <w:t>“Instansi Pemerintah – revisi DIPA, pencairan belum turun”</w:t>
            </w:r>
          </w:p>
        </w:tc>
      </w:tr>
      <w:tr>
        <w:tc>
          <w:tcPr>
            <w:tcW w:type="dxa" w:w="3120"/>
          </w:tcPr>
          <w:p>
            <w:r>
              <w:t>Persetujuan internal klien</w:t>
            </w:r>
          </w:p>
        </w:tc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“BUMN – tanda tangan BAST menunda pembayaran Rp 300 jt”</w:t>
            </w:r>
          </w:p>
        </w:tc>
      </w:tr>
      <w:tr>
        <w:tc>
          <w:tcPr>
            <w:tcW w:type="dxa" w:w="3120"/>
          </w:tcPr>
          <w:p>
            <w:r>
              <w:t>Dokumen &amp; administrasi</w:t>
            </w:r>
          </w:p>
        </w:tc>
        <w:tc>
          <w:tcPr>
            <w:tcW w:type="dxa" w:w="3120"/>
          </w:tcPr>
          <w:p>
            <w:r>
              <w:t>20</w:t>
            </w:r>
          </w:p>
        </w:tc>
        <w:tc>
          <w:tcPr>
            <w:tcW w:type="dxa" w:w="3120"/>
          </w:tcPr>
          <w:p>
            <w:r>
              <w:t>“Rumah Sakit – revisi PO &amp; dokumen tambahan”</w:t>
            </w:r>
          </w:p>
        </w:tc>
      </w:tr>
      <w:tr>
        <w:tc>
          <w:tcPr>
            <w:tcW w:type="dxa" w:w="3120"/>
          </w:tcPr>
          <w:p>
            <w:r>
              <w:t>Sengketa ruang lingkup</w:t>
            </w:r>
          </w:p>
        </w:tc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“Swasta (Corporate) – dispute deliverable, invoice Rp 165 jt ditahan”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Proyeksi 1‑2 Kuartal (Skenario)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Realisasi Cash‑In (Rp)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Gap terhadap Total Invoice (Rp)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Narasi Manajemen</w:t>
            </w:r>
          </w:p>
        </w:tc>
      </w:tr>
      <w:tr>
        <w:tc>
          <w:tcPr>
            <w:tcW w:type="dxa" w:w="2340"/>
          </w:tcPr>
          <w:p>
            <w:r>
              <w:t>Upside</w:t>
            </w:r>
          </w:p>
        </w:tc>
        <w:tc>
          <w:tcPr>
            <w:tcW w:type="dxa" w:w="2340"/>
          </w:tcPr>
          <w:p>
            <w:r>
              <w:t>5.682.560.000</w:t>
            </w:r>
          </w:p>
        </w:tc>
        <w:tc>
          <w:tcPr>
            <w:tcW w:type="dxa" w:w="2340"/>
          </w:tcPr>
          <w:p>
            <w:r>
              <w:t>1.280.440.000</w:t>
            </w:r>
          </w:p>
        </w:tc>
        <w:tc>
          <w:tcPr>
            <w:tcW w:type="dxa" w:w="2340"/>
          </w:tcPr>
          <w:p>
            <w:r>
              <w:t>Perbaikan cepat pada approval, penyelesaian dokumen, dan eskalasi pada akun prioritas (D/E).</w:t>
            </w:r>
          </w:p>
        </w:tc>
      </w:tr>
      <w:tr>
        <w:tc>
          <w:tcPr>
            <w:tcW w:type="dxa" w:w="2340"/>
          </w:tcPr>
          <w:p>
            <w:r>
              <w:t>Base Case</w:t>
            </w:r>
          </w:p>
        </w:tc>
        <w:tc>
          <w:tcPr>
            <w:tcW w:type="dxa" w:w="2340"/>
          </w:tcPr>
          <w:p>
            <w:r>
              <w:t>5.140.450.000</w:t>
            </w:r>
          </w:p>
        </w:tc>
        <w:tc>
          <w:tcPr>
            <w:tcW w:type="dxa" w:w="2340"/>
          </w:tcPr>
          <w:p>
            <w:r>
              <w:t>1.822.550.000</w:t>
            </w:r>
          </w:p>
        </w:tc>
        <w:tc>
          <w:tcPr>
            <w:tcW w:type="dxa" w:w="2340"/>
          </w:tcPr>
          <w:p>
            <w:r>
              <w:t>Pola historis tetap; koleksi mengikuti tren Q3 2026.</w:t>
            </w:r>
          </w:p>
        </w:tc>
      </w:tr>
      <w:tr>
        <w:tc>
          <w:tcPr>
            <w:tcW w:type="dxa" w:w="2340"/>
          </w:tcPr>
          <w:p>
            <w:r>
              <w:t>Downside</w:t>
            </w:r>
          </w:p>
        </w:tc>
        <w:tc>
          <w:tcPr>
            <w:tcW w:type="dxa" w:w="2340"/>
          </w:tcPr>
          <w:p>
            <w:r>
              <w:t>4.466.650.000</w:t>
            </w:r>
          </w:p>
        </w:tc>
        <w:tc>
          <w:tcPr>
            <w:tcW w:type="dxa" w:w="2340"/>
          </w:tcPr>
          <w:p>
            <w:r>
              <w:t>2.496.350.000</w:t>
            </w:r>
          </w:p>
        </w:tc>
        <w:tc>
          <w:tcPr>
            <w:tcW w:type="dxa" w:w="2340"/>
          </w:tcPr>
          <w:p>
            <w:r>
              <w:t>Memburuknya siklus anggaran, likuiditas, atau dispute meningkatkan eksposur D/E.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Implikasi Manajemen</w:t>
      </w:r>
    </w:p>
    <w:p>
      <w:pPr>
        <w:pStyle w:val="ListNumber"/>
        <w:jc w:val="left"/>
      </w:pPr>
      <w:r>
        <w:rPr>
          <w:b/>
          <w:i w:val="0"/>
          <w:u w:val="none"/>
        </w:rPr>
        <w:t>Prioritas Eskalasi:</w:t>
      </w:r>
      <w:r>
        <w:rPr>
          <w:b w:val="0"/>
          <w:i w:val="0"/>
          <w:u w:val="none"/>
        </w:rPr>
        <w:t xml:space="preserve"> Fokus pada partner dengan kombinasi nilai invoice tinggi dan skor risiko tinggi – terutama </w:t>
      </w:r>
      <w:r>
        <w:rPr>
          <w:b/>
          <w:i w:val="0"/>
          <w:u w:val="none"/>
        </w:rPr>
        <w:t>Swasta (Tech Startup)</w:t>
      </w:r>
      <w:r>
        <w:rPr>
          <w:b w:val="0"/>
          <w:i w:val="0"/>
          <w:u w:val="none"/>
        </w:rPr>
        <w:t xml:space="preserve"> (kelas E, Rp 180 jt) dan </w:t>
      </w:r>
      <w:r>
        <w:rPr>
          <w:b/>
          <w:i w:val="0"/>
          <w:u w:val="none"/>
        </w:rPr>
        <w:t>Instansi Pemerintah</w:t>
      </w:r>
      <w:r>
        <w:rPr>
          <w:b w:val="0"/>
          <w:i w:val="0"/>
          <w:u w:val="none"/>
        </w:rPr>
        <w:t xml:space="preserve"> (kelas D, Rp 250 jt).</w:t>
      </w:r>
    </w:p>
    <w:p>
      <w:pPr>
        <w:pStyle w:val="ListNumber"/>
        <w:jc w:val="left"/>
      </w:pPr>
      <w:r>
        <w:rPr>
          <w:b/>
          <w:i w:val="0"/>
          <w:u w:val="none"/>
        </w:rPr>
        <w:t>Pengendalian Risiko:</w:t>
      </w:r>
      <w:r>
        <w:rPr>
          <w:b w:val="0"/>
          <w:i w:val="0"/>
          <w:u w:val="none"/>
        </w:rPr>
        <w:t xml:space="preserve"> Karena 81,6 % invoice terlambat, diperlukan mekanisme monitoring harian pada status dokumen dan persetujuan.</w:t>
      </w:r>
    </w:p>
    <w:p>
      <w:pPr>
        <w:pStyle w:val="ListNumber"/>
        <w:jc w:val="left"/>
      </w:pPr>
      <w:r>
        <w:rPr>
          <w:b/>
          <w:i w:val="0"/>
          <w:u w:val="none"/>
        </w:rPr>
        <w:t>Kebijakan Kredit:</w:t>
      </w:r>
      <w:r>
        <w:rPr>
          <w:b w:val="0"/>
          <w:i w:val="0"/>
          <w:u w:val="none"/>
        </w:rPr>
        <w:t xml:space="preserve"> Pertimbangkan penyesuaian termin atau skema pembayaran bertahap untuk akun dengan likuiditas terbukti lemah (Tech Startup, Corporate).</w:t>
      </w:r>
    </w:p>
    <w:p>
      <w:pPr>
        <w:pStyle w:val="ListNumber"/>
        <w:jc w:val="left"/>
      </w:pPr>
      <w:r>
        <w:rPr>
          <w:b/>
          <w:i w:val="0"/>
          <w:u w:val="none"/>
        </w:rPr>
        <w:t>Pengaruh Siklus Anggaran:</w:t>
      </w:r>
      <w:r>
        <w:rPr>
          <w:b w:val="0"/>
          <w:i w:val="0"/>
          <w:u w:val="none"/>
        </w:rPr>
        <w:t xml:space="preserve"> Untuk semua entitas pemerintah, sinkronisasi dengan jadwal APBD/DIPA menjadi prasyarat realisasi cash‑in; koordinasi harus dimulai </w:t>
      </w:r>
      <w:r>
        <w:rPr>
          <w:b/>
          <w:i w:val="0"/>
          <w:u w:val="none"/>
        </w:rPr>
        <w:t>segera</w:t>
      </w:r>
      <w:r>
        <w:rPr>
          <w:b w:val="0"/>
          <w:i w:val="0"/>
          <w:u w:val="none"/>
        </w:rPr>
        <w:t xml:space="preserve"> menjelang cut‑off fiskal.</w:t>
      </w:r>
    </w:p>
    <w:p>
      <w:pPr>
        <w:pStyle w:val="Heading3"/>
        <w:jc w:val="left"/>
      </w:pPr>
      <w:r>
        <w:rPr>
          <w:b w:val="0"/>
          <w:i w:val="0"/>
          <w:u w:val="none"/>
        </w:rPr>
        <w:t>Rekomendasi Tindakan 30 Hari (Owner: Finance Manager &amp; Account Manager)</w:t>
      </w:r>
    </w:p>
    <w:p>
      <w:pPr>
        <w:pStyle w:val="ListNumber"/>
        <w:jc w:val="left"/>
      </w:pPr>
      <w:r>
        <w:rPr>
          <w:b/>
          <w:i w:val="0"/>
          <w:u w:val="none"/>
        </w:rPr>
        <w:t>Negosiasi Termin &amp; Komitmen Tertulis</w:t>
      </w:r>
      <w:r>
        <w:rPr>
          <w:b w:val="0"/>
          <w:i w:val="0"/>
          <w:u w:val="none"/>
        </w:rPr>
        <w:t xml:space="preserve"> – untuk semua invoice kelas E (total Rp 480 jt).</w:t>
      </w:r>
    </w:p>
    <w:p>
      <w:pPr>
        <w:pStyle w:val="ListNumber"/>
        <w:jc w:val="left"/>
      </w:pPr>
      <w:r>
        <w:rPr>
          <w:b/>
          <w:i w:val="0"/>
          <w:u w:val="none"/>
        </w:rPr>
        <w:t>Penyelesaian Dokumen</w:t>
      </w:r>
      <w:r>
        <w:rPr>
          <w:b w:val="0"/>
          <w:i w:val="0"/>
          <w:u w:val="none"/>
        </w:rPr>
        <w:t xml:space="preserve"> – audit checklist dokumen pada 20 catatan yang teridentifikasi; target penyelesaian 80 % dalam 2 minggu.</w:t>
      </w:r>
    </w:p>
    <w:p>
      <w:pPr>
        <w:pStyle w:val="ListNumber"/>
        <w:jc w:val="left"/>
      </w:pPr>
      <w:r>
        <w:rPr>
          <w:b/>
          <w:i w:val="0"/>
          <w:u w:val="none"/>
        </w:rPr>
        <w:t>Eskalasi Manajemen</w:t>
      </w:r>
      <w:r>
        <w:rPr>
          <w:b w:val="0"/>
          <w:i w:val="0"/>
          <w:u w:val="none"/>
        </w:rPr>
        <w:t xml:space="preserve"> – buat “Rapid Response Team” untuk akun D/E dengan nilai &gt; Rp 100 jt; laporan status harian ke CFO.</w:t>
      </w:r>
    </w:p>
    <w:p>
      <w:pPr>
        <w:pStyle w:val="ListNumber"/>
        <w:jc w:val="left"/>
      </w:pPr>
      <w:r>
        <w:rPr>
          <w:b/>
          <w:i w:val="0"/>
          <w:u w:val="none"/>
        </w:rPr>
        <w:t>Validasi Anggaran Pemerintah</w:t>
      </w:r>
      <w:r>
        <w:rPr>
          <w:b w:val="0"/>
          <w:i w:val="0"/>
          <w:u w:val="none"/>
        </w:rPr>
        <w:t xml:space="preserve"> – hubungi PIC masing‑masing pada Instansi Pemerintah &amp; Pemerintahan Daerah; konfirmasi jadwal pencairan sebelum akhir bulan.</w:t>
      </w:r>
    </w:p>
    <w:p>
      <w:pPr>
        <w:pStyle w:val="Heading3"/>
        <w:jc w:val="left"/>
      </w:pPr>
      <w:r>
        <w:rPr>
          <w:b w:val="0"/>
          <w:i w:val="0"/>
          <w:u w:val="none"/>
        </w:rPr>
        <w:t>Dampak Bisnis</w:t>
      </w:r>
    </w:p>
    <w:p>
      <w:pPr>
        <w:pStyle w:val="ListBullet"/>
        <w:jc w:val="left"/>
      </w:pPr>
      <w:r>
        <w:rPr>
          <w:b/>
          <w:i w:val="0"/>
          <w:u w:val="none"/>
        </w:rPr>
        <w:t>Cash‑in Gap</w:t>
      </w:r>
      <w:r>
        <w:rPr>
          <w:b w:val="0"/>
          <w:i w:val="0"/>
          <w:u w:val="none"/>
        </w:rPr>
        <w:t xml:space="preserve"> dapat dipangkas hingga </w:t>
      </w:r>
      <w:r>
        <w:rPr>
          <w:b/>
          <w:i w:val="0"/>
          <w:u w:val="none"/>
        </w:rPr>
        <w:t>≈ 540 jt</w:t>
      </w:r>
      <w:r>
        <w:rPr>
          <w:b w:val="0"/>
          <w:i w:val="0"/>
          <w:u w:val="none"/>
        </w:rPr>
        <w:t xml:space="preserve"> (dari Rp 1.822,5 jt menjadi Rp 1.280,4 jt) bila aksi Upside tercapai, meningkatkan likuiditas operasional untuk mendanai proyek Q4 2026.</w:t>
      </w:r>
    </w:p>
    <w:p>
      <w:pPr>
        <w:pStyle w:val="ListBullet"/>
        <w:jc w:val="left"/>
      </w:pPr>
      <w:r>
        <w:rPr>
          <w:b/>
          <w:i w:val="0"/>
          <w:u w:val="none"/>
        </w:rPr>
        <w:t>Pengurangan Risiko Keterlambatan</w:t>
      </w:r>
      <w:r>
        <w:rPr>
          <w:b w:val="0"/>
          <w:i w:val="0"/>
          <w:u w:val="none"/>
        </w:rPr>
        <w:t xml:space="preserve"> sebesar 15 % diproyeksikan melalui penyelesaian dokumen dan eskalasi, menurunkan skor risiko rata‑rata menjadi </w:t>
      </w:r>
      <w:r>
        <w:rPr>
          <w:b/>
          <w:i w:val="0"/>
          <w:u w:val="none"/>
        </w:rPr>
        <w:t>≈ 2,4</w:t>
      </w:r>
      <w:r>
        <w:rPr>
          <w:b w:val="0"/>
          <w:i w:val="0"/>
          <w:u w:val="none"/>
        </w:rPr>
        <w:t xml:space="preserve"> dalam 6 bulan.</w:t>
      </w:r>
    </w:p>
    <w:p>
      <w:pPr>
        <w:pStyle w:val="ListBullet"/>
        <w:jc w:val="left"/>
      </w:pPr>
      <w:r>
        <w:rPr>
          <w:b/>
          <w:i w:val="0"/>
          <w:u w:val="none"/>
        </w:rPr>
        <w:t>Kepatuhan Governance</w:t>
      </w:r>
      <w:r>
        <w:rPr>
          <w:b w:val="0"/>
          <w:i w:val="0"/>
          <w:u w:val="none"/>
        </w:rPr>
        <w:t xml:space="preserve"> terjaga dengan pencatatan aksi, penanggung jawab, dan timeline yang jelas, mengurangi potensi audit temuan terkait piutang.</w:t>
      </w:r>
    </w:p>
    <w:p>
      <w:pPr>
        <w:pStyle w:val="Heading3"/>
        <w:jc w:val="left"/>
      </w:pPr>
      <w:r>
        <w:rPr>
          <w:b w:val="0"/>
          <w:i w:val="0"/>
          <w:u w:val="none"/>
        </w:rPr>
        <w:t>Tingkat Keyakinan dan Caveat</w:t>
      </w:r>
    </w:p>
    <w:p>
      <w:pPr>
        <w:pStyle w:val="ListBullet"/>
        <w:jc w:val="left"/>
      </w:pPr>
      <w:r>
        <w:rPr>
          <w:b/>
          <w:i w:val="0"/>
          <w:u w:val="none"/>
        </w:rPr>
        <w:t>Keyakinan data:</w:t>
      </w:r>
      <w:r>
        <w:rPr>
          <w:b w:val="0"/>
          <w:i w:val="0"/>
          <w:u w:val="none"/>
        </w:rPr>
        <w:t xml:space="preserve"> 3/5 – dataset internal terbatas pada 49 invoice; tidak mencakup seluruh portofolio perusahaan.</w:t>
      </w:r>
    </w:p>
    <w:p>
      <w:pPr>
        <w:pStyle w:val="ListBullet"/>
        <w:jc w:val="left"/>
      </w:pPr>
      <w:r>
        <w:rPr>
          <w:b/>
          <w:i w:val="0"/>
          <w:u w:val="none"/>
        </w:rPr>
        <w:t>Asumsi utama:</w:t>
      </w:r>
      <w:r>
        <w:rPr>
          <w:b w:val="0"/>
          <w:i w:val="0"/>
          <w:u w:val="none"/>
        </w:rPr>
        <w:t xml:space="preserve"> pola pembayaran historis tetap berlaku; tidak ada perubahan signifikan pada kebijakan fiskal pemerintah atau kondisi makroekonomi.</w:t>
      </w:r>
    </w:p>
    <w:p>
      <w:pPr>
        <w:pStyle w:val="ListBullet"/>
        <w:jc w:val="left"/>
      </w:pPr>
      <w:r>
        <w:rPr>
          <w:b/>
          <w:i w:val="0"/>
          <w:u w:val="none"/>
        </w:rPr>
        <w:t>Caveat: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Risiko eksternal (mis. penundaan APBN, fluktuasi nilai tukar) dapat memperburuk skenario Downside.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Ketergantungan pada satu atau dua akun high‑risk (Tech Startup) meningkatkan volatilitas cash‑in.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Ketersediaan data real‑time belum terintegrasi; monitoring bergantung pada laporan manual yang dapat menimbulkan delay.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Deskriptif Cash In</w:t>
      </w:r>
    </w:p>
    <w:p>
      <w:pPr>
        <w:pStyle w:val="Heading3"/>
        <w:jc w:val="left"/>
      </w:pPr>
      <w:r>
        <w:rPr>
          <w:b w:val="0"/>
          <w:i w:val="0"/>
          <w:u w:val="none"/>
        </w:rPr>
        <w:t>Snapshot Portofolio dan Konsentrasi Risiko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Keterangan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680"/>
          </w:tcPr>
          <w:p>
            <w:r>
              <w:t>Total invoice dianalisis</w:t>
            </w:r>
          </w:p>
        </w:tc>
        <w:tc>
          <w:tcPr>
            <w:tcW w:type="dxa" w:w="4680"/>
          </w:tcPr>
          <w:p>
            <w:r>
              <w:t>49</w:t>
            </w:r>
          </w:p>
        </w:tc>
      </w:tr>
      <w:tr>
        <w:tc>
          <w:tcPr>
            <w:tcW w:type="dxa" w:w="4680"/>
          </w:tcPr>
          <w:p>
            <w:r>
              <w:t>Total nilai invoice</w:t>
            </w:r>
          </w:p>
        </w:tc>
        <w:tc>
          <w:tcPr>
            <w:tcW w:type="dxa" w:w="4680"/>
          </w:tcPr>
          <w:p>
            <w:r>
              <w:t>Rp 6.963.000.000</w:t>
            </w:r>
          </w:p>
        </w:tc>
      </w:tr>
      <w:tr>
        <w:tc>
          <w:tcPr>
            <w:tcW w:type="dxa" w:w="4680"/>
          </w:tcPr>
          <w:p>
            <w:r>
              <w:t>Porsi invoice terlambat</w:t>
            </w:r>
          </w:p>
        </w:tc>
        <w:tc>
          <w:tcPr>
            <w:tcW w:type="dxa" w:w="4680"/>
          </w:tcPr>
          <w:p>
            <w:r>
              <w:t>81,6 % (40 invoice)</w:t>
            </w:r>
          </w:p>
        </w:tc>
      </w:tr>
      <w:tr>
        <w:tc>
          <w:tcPr>
            <w:tcW w:type="dxa" w:w="4680"/>
          </w:tcPr>
          <w:p>
            <w:r>
              <w:t>Nilai invoice terlambat</w:t>
            </w:r>
          </w:p>
        </w:tc>
        <w:tc>
          <w:tcPr>
            <w:tcW w:type="dxa" w:w="4680"/>
          </w:tcPr>
          <w:p>
            <w:r>
              <w:t>Rp 5.650.000.000</w:t>
            </w:r>
          </w:p>
        </w:tc>
      </w:tr>
      <w:tr>
        <w:tc>
          <w:tcPr>
            <w:tcW w:type="dxa" w:w="4680"/>
          </w:tcPr>
          <w:p>
            <w:r>
              <w:t>Porsi invoice risiko tinggi (Kelas D/E)</w:t>
            </w:r>
          </w:p>
        </w:tc>
        <w:tc>
          <w:tcPr>
            <w:tcW w:type="dxa" w:w="4680"/>
          </w:tcPr>
          <w:p>
            <w:r>
              <w:t>22,4 % (11 invoice)</w:t>
            </w:r>
          </w:p>
        </w:tc>
      </w:tr>
      <w:tr>
        <w:tc>
          <w:tcPr>
            <w:tcW w:type="dxa" w:w="4680"/>
          </w:tcPr>
          <w:p>
            <w:r>
              <w:t>Nilai invoice risiko tinggi</w:t>
            </w:r>
          </w:p>
        </w:tc>
        <w:tc>
          <w:tcPr>
            <w:tcW w:type="dxa" w:w="4680"/>
          </w:tcPr>
          <w:p>
            <w:r>
              <w:t>Rp 1.547.000.000</w:t>
            </w:r>
          </w:p>
        </w:tc>
      </w:tr>
      <w:tr>
        <w:tc>
          <w:tcPr>
            <w:tcW w:type="dxa" w:w="4680"/>
          </w:tcPr>
          <w:p>
            <w:r>
              <w:t>Skor risiko penagihan rata‑rata</w:t>
            </w:r>
          </w:p>
        </w:tc>
        <w:tc>
          <w:tcPr>
            <w:tcW w:type="dxa" w:w="4680"/>
          </w:tcPr>
          <w:p>
            <w:r>
              <w:t>2,63 / 5,00</w:t>
            </w:r>
          </w:p>
        </w:tc>
      </w:tr>
      <w:tr>
        <w:tc>
          <w:tcPr>
            <w:tcW w:type="dxa" w:w="4680"/>
          </w:tcPr>
          <w:p>
            <w:r>
              <w:t>Estimasi cash‑in risk‑adjusted (base case)</w:t>
            </w:r>
          </w:p>
        </w:tc>
        <w:tc>
          <w:tcPr>
            <w:tcW w:type="dxa" w:w="4680"/>
          </w:tcPr>
          <w:p>
            <w:r>
              <w:t>Rp 5.140.450.000 (73,8 % dari total)</w:t>
            </w:r>
          </w:p>
        </w:tc>
      </w:tr>
      <w:tr>
        <w:tc>
          <w:tcPr>
            <w:tcW w:type="dxa" w:w="4680"/>
          </w:tcPr>
          <w:p>
            <w:r>
              <w:t>Gap cash‑in (base case)</w:t>
            </w:r>
          </w:p>
        </w:tc>
        <w:tc>
          <w:tcPr>
            <w:tcW w:type="dxa" w:w="4680"/>
          </w:tcPr>
          <w:p>
            <w:r>
              <w:t>Rp 1.822.550.000</w:t>
            </w:r>
          </w:p>
        </w:tc>
      </w:tr>
    </w:tbl>
    <w:p>
      <w:pPr>
        <w:jc w:val="both"/>
      </w:pPr>
      <w:r>
        <w:rPr>
          <w:b/>
          <w:i w:val="0"/>
          <w:u w:val="none"/>
        </w:rPr>
        <w:t>Distribusi kelas pembayaran</w:t>
      </w:r>
      <w:r>
        <w:rPr>
          <w:b w:val="0"/>
          <w:i w:val="0"/>
          <w:u w:val="none"/>
        </w:rPr>
        <w:t xml:space="preserve"> (visualisasi terlampir)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4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Grafik distribusi historis kelas pembayaran</w:t>
      </w:r>
    </w:p>
    <w:p>
      <w:pPr>
        <w:jc w:val="both"/>
      </w:pPr>
      <w:r>
        <w:rPr>
          <w:b/>
          <w:i w:val="0"/>
          <w:u w:val="none"/>
        </w:rPr>
        <w:t>Konsentrasi nilai pada kelas risiko tinggi</w:t>
      </w:r>
      <w:r>
        <w:rPr>
          <w:b w:val="0"/>
          <w:i w:val="0"/>
          <w:u w:val="none"/>
        </w:rPr>
        <w:br/>
        <w:t xml:space="preserve">- </w:t>
      </w:r>
      <w:r>
        <w:rPr>
          <w:b/>
          <w:i w:val="0"/>
          <w:u w:val="none"/>
        </w:rPr>
        <w:t>Swasta (Tech Startup)</w:t>
      </w:r>
      <w:r>
        <w:rPr>
          <w:b w:val="0"/>
          <w:i w:val="0"/>
          <w:u w:val="none"/>
        </w:rPr>
        <w:t>: 5 invoice, Rp 630.000.000, skor 4,60</w:t>
        <w:br/>
        <w:t xml:space="preserve">- </w:t>
      </w:r>
      <w:r>
        <w:rPr>
          <w:b/>
          <w:i w:val="0"/>
          <w:u w:val="none"/>
        </w:rPr>
        <w:t>Instansi Pemerintah</w:t>
      </w:r>
      <w:r>
        <w:rPr>
          <w:b w:val="0"/>
          <w:i w:val="0"/>
          <w:u w:val="none"/>
        </w:rPr>
        <w:t>: 1 invoice, Rp 250.000.000, skor 4,00</w:t>
        <w:br/>
        <w:t xml:space="preserve">- </w:t>
      </w:r>
      <w:r>
        <w:rPr>
          <w:b/>
          <w:i w:val="0"/>
          <w:u w:val="none"/>
        </w:rPr>
        <w:t>Universitas</w:t>
      </w:r>
      <w:r>
        <w:rPr>
          <w:b w:val="0"/>
          <w:i w:val="0"/>
          <w:u w:val="none"/>
        </w:rPr>
        <w:t>: 2 invoice, Rp 215.000.000, skor 4,00</w:t>
        <w:br/>
        <w:t xml:space="preserve">- </w:t>
      </w:r>
      <w:r>
        <w:rPr>
          <w:b/>
          <w:i w:val="0"/>
          <w:u w:val="none"/>
        </w:rPr>
        <w:t>Swasta (Corporate)</w:t>
      </w:r>
      <w:r>
        <w:rPr>
          <w:b w:val="0"/>
          <w:i w:val="0"/>
          <w:u w:val="none"/>
        </w:rPr>
        <w:t>: 1 invoice, Rp 165.000.000, skor 5,00</w:t>
        <w:br/>
        <w:t xml:space="preserve">- </w:t>
      </w:r>
      <w:r>
        <w:rPr>
          <w:b/>
          <w:i w:val="0"/>
          <w:u w:val="none"/>
        </w:rPr>
        <w:t>Pemerintahan Daerah</w:t>
      </w:r>
      <w:r>
        <w:rPr>
          <w:b w:val="0"/>
          <w:i w:val="0"/>
          <w:u w:val="none"/>
        </w:rPr>
        <w:t>: 1 invoice, Rp 145.000.000, skor 4,00</w:t>
      </w:r>
    </w:p>
    <w:p>
      <w:pPr>
        <w:pStyle w:val="Heading3"/>
        <w:jc w:val="left"/>
      </w:pPr>
      <w:r>
        <w:rPr>
          <w:b w:val="0"/>
          <w:i w:val="0"/>
          <w:u w:val="none"/>
        </w:rPr>
        <w:t>Batasan Data dan Asumsi</w:t>
      </w:r>
    </w:p>
    <w:p>
      <w:pPr>
        <w:pStyle w:val="ListNumber"/>
        <w:jc w:val="left"/>
      </w:pPr>
      <w:r>
        <w:rPr>
          <w:b/>
          <w:i w:val="0"/>
          <w:u w:val="none"/>
        </w:rPr>
        <w:t>Sumber data</w:t>
      </w:r>
      <w:r>
        <w:rPr>
          <w:b w:val="0"/>
          <w:i w:val="0"/>
          <w:u w:val="none"/>
        </w:rPr>
        <w:t xml:space="preserve"> – Semua angka berasal dari dataset internal demo (49 invoice, 6 atribut inti). Tidak ada data eksternal yang mempengaruhi nilai numerik.</w:t>
      </w:r>
    </w:p>
    <w:p>
      <w:pPr>
        <w:pStyle w:val="ListNumber"/>
        <w:jc w:val="left"/>
      </w:pPr>
      <w:r>
        <w:rPr>
          <w:b/>
          <w:i w:val="0"/>
          <w:u w:val="none"/>
        </w:rPr>
        <w:t>Periode analisis</w:t>
      </w:r>
      <w:r>
        <w:rPr>
          <w:b w:val="0"/>
          <w:i w:val="0"/>
          <w:u w:val="none"/>
        </w:rPr>
        <w:t xml:space="preserve"> – Fokus pada Q2 2026 → Q3 2026; tren historis Q2 2025‑Q3 2026 dipertimbangkan untuk perhitungan rata‑rata risiko.</w:t>
      </w:r>
    </w:p>
    <w:p>
      <w:pPr>
        <w:pStyle w:val="ListNumber"/>
        <w:jc w:val="left"/>
      </w:pPr>
      <w:r>
        <w:rPr>
          <w:b/>
          <w:i w:val="0"/>
          <w:u w:val="none"/>
        </w:rPr>
        <w:t>Asumsi cash‑in risk‑adjusted</w:t>
      </w:r>
      <w:r>
        <w:rPr>
          <w:b w:val="0"/>
          <w:i w:val="0"/>
          <w:u w:val="none"/>
        </w:rPr>
        <w:t xml:space="preserve"> – Menggunakan skor risiko sebagai faktor penurunan (mis. skor 5 → 0 % realisasi, skor 1 → 100 %). Model sederhana, sehingga proyeksi bersifat indikatif, bukan prediktif definitif.</w:t>
      </w:r>
    </w:p>
    <w:p>
      <w:pPr>
        <w:pStyle w:val="ListNumber"/>
        <w:jc w:val="left"/>
      </w:pPr>
      <w:r>
        <w:rPr>
          <w:b/>
          <w:i w:val="0"/>
          <w:u w:val="none"/>
        </w:rPr>
        <w:t>Keterbatasan</w:t>
      </w:r>
      <w:r>
        <w:rPr>
          <w:b w:val="0"/>
          <w:i w:val="0"/>
          <w:u w:val="none"/>
        </w:rPr>
        <w:t xml:space="preserve"> – Tidak ada detail tentang jatuh tempo spesifik, discount terms, atau faktor makro‑ekonomi (inflasi, nilai tukar). OSINT hanya dipakai sebagai konteks umum (mis. siklus anggaran pemerintah).</w:t>
      </w:r>
    </w:p>
    <w:p>
      <w:pPr>
        <w:pStyle w:val="ListNumber"/>
        <w:jc w:val="left"/>
      </w:pPr>
      <w:r>
        <w:rPr>
          <w:b/>
          <w:i w:val="0"/>
          <w:u w:val="none"/>
        </w:rPr>
        <w:t>Kepemilikan data</w:t>
      </w:r>
      <w:r>
        <w:rPr>
          <w:b w:val="0"/>
          <w:i w:val="0"/>
          <w:u w:val="none"/>
        </w:rPr>
        <w:t xml:space="preserve"> – Finance Manager (owner) bertanggung jawab atas validasi nilai invoice; Account Manager memelihara catatan risiko per partner.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Diagnostik</w:t>
      </w:r>
    </w:p>
    <w:p>
      <w:pPr>
        <w:pStyle w:val="Heading3"/>
        <w:jc w:val="left"/>
      </w:pPr>
      <w:r>
        <w:rPr>
          <w:b w:val="0"/>
          <w:i w:val="0"/>
          <w:u w:val="none"/>
        </w:rPr>
        <w:t>Bukti Internal yang Mewakili</w:t>
      </w:r>
    </w:p>
    <w:p>
      <w:pPr>
        <w:pStyle w:val="ListBullet"/>
        <w:jc w:val="left"/>
      </w:pPr>
      <w:r>
        <w:rPr>
          <w:b/>
          <w:i w:val="0"/>
          <w:u w:val="none"/>
        </w:rPr>
        <w:t>Likuiditas pelanggan</w:t>
      </w:r>
      <w:r>
        <w:rPr>
          <w:b w:val="0"/>
          <w:i w:val="0"/>
          <w:u w:val="none"/>
        </w:rPr>
        <w:t xml:space="preserve"> muncul pada 9 catatan historis, terutama pada tiga invoice kelas E (Tech Startup) dengan nilai total Rp 430.000.000. Contoh: </w:t>
      </w:r>
      <w:r>
        <w:rPr>
          <w:b w:val="0"/>
          <w:i/>
          <w:u w:val="none"/>
        </w:rPr>
        <w:t>“Likuiditas pelanggan menjadi hambatan utama, invoice Rp 180 jt ditahan karena cash‑flow startup.”</w:t>
      </w:r>
    </w:p>
    <w:p>
      <w:pPr>
        <w:pStyle w:val="ListBullet"/>
        <w:jc w:val="left"/>
      </w:pPr>
      <w:r>
        <w:rPr>
          <w:b/>
          <w:i w:val="0"/>
          <w:u w:val="none"/>
        </w:rPr>
        <w:t>Siklus anggaran</w:t>
      </w:r>
      <w:r>
        <w:rPr>
          <w:b w:val="0"/>
          <w:i w:val="0"/>
          <w:u w:val="none"/>
        </w:rPr>
        <w:t xml:space="preserve"> tercatat pada 11 catatan, misalnya pada invoice kelas D Pemerintahan Daerah (Rp 145 jt) yang tertunda karena </w:t>
      </w:r>
      <w:r>
        <w:rPr>
          <w:b w:val="0"/>
          <w:i/>
          <w:u w:val="none"/>
        </w:rPr>
        <w:t>“perubahan APBD, backlog tanda tangan pejabat.”</w:t>
      </w:r>
    </w:p>
    <w:p>
      <w:pPr>
        <w:pStyle w:val="ListBullet"/>
        <w:jc w:val="left"/>
      </w:pPr>
      <w:r>
        <w:rPr>
          <w:b/>
          <w:i w:val="0"/>
          <w:u w:val="none"/>
        </w:rPr>
        <w:t>Persetujuan internal klien</w:t>
      </w:r>
      <w:r>
        <w:rPr>
          <w:b w:val="0"/>
          <w:i w:val="0"/>
          <w:u w:val="none"/>
        </w:rPr>
        <w:t xml:space="preserve"> dan </w:t>
      </w:r>
      <w:r>
        <w:rPr>
          <w:b/>
          <w:i w:val="0"/>
          <w:u w:val="none"/>
        </w:rPr>
        <w:t>dokumen tambahan</w:t>
      </w:r>
      <w:r>
        <w:rPr>
          <w:b w:val="0"/>
          <w:i w:val="0"/>
          <w:u w:val="none"/>
        </w:rPr>
        <w:t xml:space="preserve"> masing‑masing muncul pada 9 dan 20 catatan, contoh: </w:t>
      </w:r>
      <w:r>
        <w:rPr>
          <w:b w:val="0"/>
          <w:i/>
          <w:u w:val="none"/>
        </w:rPr>
        <w:t>“Direktur meminta revisi PO, review vendor, dan dokumen tambahan sebelum termin dibayar (kelas C, Rp 135 jt).”</w:t>
      </w:r>
    </w:p>
    <w:p>
      <w:pPr>
        <w:pStyle w:val="ListBullet"/>
        <w:jc w:val="left"/>
      </w:pPr>
      <w:r>
        <w:rPr>
          <w:b/>
          <w:i w:val="0"/>
          <w:u w:val="none"/>
        </w:rPr>
        <w:t>Dispute ruang lingkup</w:t>
      </w:r>
      <w:r>
        <w:rPr>
          <w:b w:val="0"/>
          <w:i w:val="0"/>
          <w:u w:val="none"/>
        </w:rPr>
        <w:t xml:space="preserve"> terlihat pada invoice kelas E Consulting Data Governance (Rp 165 jt) dengan catatan </w:t>
      </w:r>
      <w:r>
        <w:rPr>
          <w:b w:val="0"/>
          <w:i/>
          <w:u w:val="none"/>
        </w:rPr>
        <w:t>“sengketa ruang lingkup, klarifikasi deliverable belum selesai, invoice tetap ditahan oleh procurement.”</w:t>
      </w:r>
    </w:p>
    <w:p>
      <w:pPr>
        <w:pStyle w:val="Heading3"/>
        <w:jc w:val="left"/>
      </w:pPr>
      <w:r>
        <w:rPr>
          <w:b w:val="0"/>
          <w:i w:val="0"/>
          <w:u w:val="none"/>
        </w:rPr>
        <w:t>Konteks OSINT Pendukung</w:t>
      </w:r>
    </w:p>
    <w:p>
      <w:pPr>
        <w:pStyle w:val="ListBullet"/>
        <w:jc w:val="left"/>
      </w:pPr>
      <w:r>
        <w:rPr>
          <w:b w:val="0"/>
          <w:i w:val="0"/>
          <w:u w:val="none"/>
        </w:rPr>
        <w:t xml:space="preserve">Pemerintah Indonesia masih berada dalam </w:t>
      </w:r>
      <w:r>
        <w:rPr>
          <w:b/>
          <w:i w:val="0"/>
          <w:u w:val="none"/>
        </w:rPr>
        <w:t>siklus anggaran Jan‑Jul</w:t>
      </w:r>
      <w:r>
        <w:rPr>
          <w:b w:val="0"/>
          <w:i w:val="0"/>
          <w:u w:val="none"/>
        </w:rPr>
        <w:t xml:space="preserve"> (DJPb). Penundaan pencairan APBN pada kuartal kedua dapat memperpanjang periode tunggu pembayaran bagi Instansi Pemerintah dan Pemerintahan Daerah.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 xml:space="preserve">Studi publik tentang </w:t>
      </w:r>
      <w:r>
        <w:rPr>
          <w:b/>
          <w:i w:val="0"/>
          <w:u w:val="none"/>
        </w:rPr>
        <w:t>kebiasaan pembayaran BUMN</w:t>
      </w:r>
      <w:r>
        <w:rPr>
          <w:b w:val="0"/>
          <w:i w:val="0"/>
          <w:u w:val="none"/>
        </w:rPr>
        <w:t xml:space="preserve"> menunjukkan rata‑rata termin 30‑45 hari, namun </w:t>
      </w:r>
      <w:r>
        <w:rPr>
          <w:b w:val="0"/>
          <w:i/>
          <w:u w:val="none"/>
        </w:rPr>
        <w:t>“approval dan audit internal”</w:t>
      </w:r>
      <w:r>
        <w:rPr>
          <w:b w:val="0"/>
          <w:i w:val="0"/>
          <w:u w:val="none"/>
        </w:rPr>
        <w:t xml:space="preserve"> sering menambah 1‑2 minggu ekstra, sejalan dengan catatan internal kami.</w:t>
      </w:r>
    </w:p>
    <w:p>
      <w:pPr>
        <w:pStyle w:val="ListBullet"/>
        <w:jc w:val="left"/>
      </w:pPr>
      <w:r>
        <w:rPr>
          <w:b/>
          <w:i w:val="0"/>
          <w:u w:val="none"/>
        </w:rPr>
        <w:t>Likuiditas bisnis</w:t>
      </w:r>
      <w:r>
        <w:rPr>
          <w:b w:val="0"/>
          <w:i w:val="0"/>
          <w:u w:val="none"/>
        </w:rPr>
        <w:t xml:space="preserve"> di sektor startup teknologi masih dipengaruhi oleh pendanaan venture capital yang bersifat siklik; penurunan cash‑in pada Q3 2026 konsisten dengan tren eksternal ini.</w:t>
      </w:r>
    </w:p>
    <w:p>
      <w:pPr>
        <w:pStyle w:val="Heading3"/>
        <w:jc w:val="left"/>
      </w:pPr>
      <w:r>
        <w:rPr>
          <w:b w:val="0"/>
          <w:i w:val="0"/>
          <w:u w:val="none"/>
        </w:rPr>
        <w:t>Risiko dan Kontrol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Risiko Utama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Dampak Potensial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Kontrol yang Ada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Gap Kontrol</w:t>
            </w:r>
          </w:p>
        </w:tc>
      </w:tr>
      <w:tr>
        <w:tc>
          <w:tcPr>
            <w:tcW w:type="dxa" w:w="2340"/>
          </w:tcPr>
          <w:p>
            <w:r>
              <w:t>Likuiditas pelanggan (Tech Startup)</w:t>
            </w:r>
          </w:p>
        </w:tc>
        <w:tc>
          <w:tcPr>
            <w:tcW w:type="dxa" w:w="2340"/>
          </w:tcPr>
          <w:p>
            <w:r>
              <w:t>Penurunan cash‑in hingga Rp 430 jt (kelas E)</w:t>
            </w:r>
          </w:p>
        </w:tc>
        <w:tc>
          <w:tcPr>
            <w:tcW w:type="dxa" w:w="2340"/>
          </w:tcPr>
          <w:p>
            <w:r>
              <w:t>Negosiasi termin, eskalasi manajemen</w:t>
            </w:r>
          </w:p>
        </w:tc>
        <w:tc>
          <w:tcPr>
            <w:tcW w:type="dxa" w:w="2340"/>
          </w:tcPr>
          <w:p>
            <w:r>
              <w:t>Belum ada perjanjian termin tertulis</w:t>
            </w:r>
          </w:p>
        </w:tc>
      </w:tr>
      <w:tr>
        <w:tc>
          <w:tcPr>
            <w:tcW w:type="dxa" w:w="2340"/>
          </w:tcPr>
          <w:p>
            <w:r>
              <w:t>Siklus anggaran pemerintah</w:t>
            </w:r>
          </w:p>
        </w:tc>
        <w:tc>
          <w:tcPr>
            <w:tcW w:type="dxa" w:w="2340"/>
          </w:tcPr>
          <w:p>
            <w:r>
              <w:t>Penundaan pembayaran kelas D/E sebesar Rp 395 jt</w:t>
            </w:r>
          </w:p>
        </w:tc>
        <w:tc>
          <w:tcPr>
            <w:tcW w:type="dxa" w:w="2340"/>
          </w:tcPr>
          <w:p>
            <w:r>
              <w:t>Monitoring jadwal APBD, reminder ke PIC</w:t>
            </w:r>
          </w:p>
        </w:tc>
        <w:tc>
          <w:tcPr>
            <w:tcW w:type="dxa" w:w="2340"/>
          </w:tcPr>
          <w:p>
            <w:r>
              <w:t>Tidak ada SLA formal dengan unit anggaran</w:t>
            </w:r>
          </w:p>
        </w:tc>
      </w:tr>
      <w:tr>
        <w:tc>
          <w:tcPr>
            <w:tcW w:type="dxa" w:w="2340"/>
          </w:tcPr>
          <w:p>
            <w:r>
              <w:t>Dispute ruang lingkup</w:t>
            </w:r>
          </w:p>
        </w:tc>
        <w:tc>
          <w:tcPr>
            <w:tcW w:type="dxa" w:w="2340"/>
          </w:tcPr>
          <w:p>
            <w:r>
              <w:t>Penahanan invoice kelas E (Rp 165 jt)</w:t>
            </w:r>
          </w:p>
        </w:tc>
        <w:tc>
          <w:tcPr>
            <w:tcW w:type="dxa" w:w="2340"/>
          </w:tcPr>
          <w:p>
            <w:r>
              <w:t>Dokumentasi keputusan bersama, hold kerja</w:t>
            </w:r>
          </w:p>
        </w:tc>
        <w:tc>
          <w:tcPr>
            <w:tcW w:type="dxa" w:w="2340"/>
          </w:tcPr>
          <w:p>
            <w:r>
              <w:t>Proses penyelesaian dispute belum terstandardisasi</w:t>
            </w:r>
          </w:p>
        </w:tc>
      </w:tr>
      <w:tr>
        <w:tc>
          <w:tcPr>
            <w:tcW w:type="dxa" w:w="2340"/>
          </w:tcPr>
          <w:p>
            <w:r>
              <w:t>Kekurangan dokumen pendukung</w:t>
            </w:r>
          </w:p>
        </w:tc>
        <w:tc>
          <w:tcPr>
            <w:tcW w:type="dxa" w:w="2340"/>
          </w:tcPr>
          <w:p>
            <w:r>
              <w:t>Penundaan kelas C/D (Rp 250 jt)</w:t>
            </w:r>
          </w:p>
        </w:tc>
        <w:tc>
          <w:tcPr>
            <w:tcW w:type="dxa" w:w="2340"/>
          </w:tcPr>
          <w:p>
            <w:r>
              <w:t>Checklist dokumen, verifikasi internal</w:t>
            </w:r>
          </w:p>
        </w:tc>
        <w:tc>
          <w:tcPr>
            <w:tcW w:type="dxa" w:w="2340"/>
          </w:tcPr>
          <w:p>
            <w:r>
              <w:t>Checklist belum terintegrasi ke sistem ERP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Implikasi Manajemen (1‑2 Kuartal)</w:t>
      </w:r>
    </w:p>
    <w:p>
      <w:pPr>
        <w:pStyle w:val="ListNumber"/>
        <w:jc w:val="left"/>
      </w:pPr>
      <w:r>
        <w:rPr>
          <w:b/>
          <w:i w:val="0"/>
          <w:u w:val="none"/>
        </w:rPr>
        <w:t>Cash‑in gap</w:t>
      </w:r>
      <w:r>
        <w:rPr>
          <w:b w:val="0"/>
          <w:i w:val="0"/>
          <w:u w:val="none"/>
        </w:rPr>
        <w:t xml:space="preserve"> pada base case (Rp 1,822 jt) dapat dipangkas hingga </w:t>
      </w:r>
      <w:r>
        <w:rPr>
          <w:b/>
          <w:i w:val="0"/>
          <w:u w:val="none"/>
        </w:rPr>
        <w:t>≈ Rp 500 jt</w:t>
      </w:r>
      <w:r>
        <w:rPr>
          <w:b w:val="0"/>
          <w:i w:val="0"/>
          <w:u w:val="none"/>
        </w:rPr>
        <w:t xml:space="preserve"> bila semua invoice kelas E diselesaikan dalam 30 hari melalui termin tertulis dan eskalasi.</w:t>
      </w:r>
    </w:p>
    <w:p>
      <w:pPr>
        <w:pStyle w:val="ListNumber"/>
        <w:jc w:val="left"/>
      </w:pPr>
      <w:r>
        <w:rPr>
          <w:b/>
          <w:i w:val="0"/>
          <w:u w:val="none"/>
        </w:rPr>
        <w:t>Upside scenario</w:t>
      </w:r>
      <w:r>
        <w:rPr>
          <w:b w:val="0"/>
          <w:i w:val="0"/>
          <w:u w:val="none"/>
        </w:rPr>
        <w:t xml:space="preserve"> (realiasi Rp 5,683 jt) memerlukan </w:t>
      </w:r>
      <w:r>
        <w:rPr>
          <w:b w:val="0"/>
          <w:i/>
          <w:u w:val="none"/>
        </w:rPr>
        <w:t>perbaikan approval</w:t>
      </w:r>
      <w:r>
        <w:rPr>
          <w:b w:val="0"/>
          <w:i w:val="0"/>
          <w:u w:val="none"/>
        </w:rPr>
        <w:t xml:space="preserve"> dan </w:t>
      </w:r>
      <w:r>
        <w:rPr>
          <w:b w:val="0"/>
          <w:i/>
          <w:u w:val="none"/>
        </w:rPr>
        <w:t>kelengkapan dokumen</w:t>
      </w:r>
      <w:r>
        <w:rPr>
          <w:b w:val="0"/>
          <w:i w:val="0"/>
          <w:u w:val="none"/>
        </w:rPr>
        <w:t xml:space="preserve"> pada akun prioritas (Tech Startup, Consulting Data Governance).</w:t>
      </w:r>
    </w:p>
    <w:p>
      <w:pPr>
        <w:pStyle w:val="ListNumber"/>
        <w:jc w:val="left"/>
      </w:pPr>
      <w:r>
        <w:rPr>
          <w:b/>
          <w:i w:val="0"/>
          <w:u w:val="none"/>
        </w:rPr>
        <w:t>Downside scenario</w:t>
      </w:r>
      <w:r>
        <w:rPr>
          <w:b w:val="0"/>
          <w:i w:val="0"/>
          <w:u w:val="none"/>
        </w:rPr>
        <w:t xml:space="preserve"> (realiasi Rp 4,467 jt) terjadi bila siklus anggaran menurun atau dispute meningkat; maka eksposur kelas D/E dapat naik menjadi &gt; 30 % nilai portofolio.</w:t>
      </w:r>
    </w:p>
    <w:p>
      <w:pPr>
        <w:pStyle w:val="Heading3"/>
        <w:jc w:val="left"/>
      </w:pPr>
      <w:r>
        <w:rPr>
          <w:b w:val="0"/>
          <w:i w:val="0"/>
          <w:u w:val="none"/>
        </w:rPr>
        <w:t>Rekomendasi Fokus Tindakan &amp; Dampak yang Diharapkan</w:t>
      </w:r>
    </w:p>
    <w:p>
      <w:pPr>
        <w:pStyle w:val="ListNumber"/>
        <w:jc w:val="left"/>
      </w:pPr>
      <w:r>
        <w:rPr>
          <w:b/>
          <w:i w:val="0"/>
          <w:u w:val="none"/>
        </w:rPr>
        <w:t>Negosiasi Termin &amp; Komitmen Tertulis</w:t>
      </w:r>
      <w:r>
        <w:rPr>
          <w:b w:val="0"/>
          <w:i w:val="0"/>
          <w:u w:val="none"/>
        </w:rPr>
        <w:t xml:space="preserve"> – Target: semua invoice kelas E (Rp 430 jt) ditandatangani dalam 14 hari. </w:t>
      </w:r>
      <w:r>
        <w:rPr>
          <w:b w:val="0"/>
          <w:i/>
          <w:u w:val="none"/>
        </w:rPr>
        <w:t>Dampak</w:t>
      </w:r>
      <w:r>
        <w:rPr>
          <w:b w:val="0"/>
          <w:i w:val="0"/>
          <w:u w:val="none"/>
        </w:rPr>
        <w:t>: potensi cash‑in tambahan Rp 300 jt, mengurangi gap cash‑in 16 %.</w:t>
      </w:r>
    </w:p>
    <w:p>
      <w:pPr>
        <w:pStyle w:val="ListNumber"/>
        <w:jc w:val="left"/>
      </w:pPr>
      <w:r>
        <w:rPr>
          <w:b/>
          <w:i w:val="0"/>
          <w:u w:val="none"/>
        </w:rPr>
        <w:t>Validasi Anggaran Pemerintah</w:t>
      </w:r>
      <w:r>
        <w:rPr>
          <w:b w:val="0"/>
          <w:i w:val="0"/>
          <w:u w:val="none"/>
        </w:rPr>
        <w:t xml:space="preserve"> – Hubungi PIC APBD untuk 3 invoice kelas D (total Rp 395 jt). </w:t>
      </w:r>
      <w:r>
        <w:rPr>
          <w:b w:val="0"/>
          <w:i/>
          <w:u w:val="none"/>
        </w:rPr>
        <w:t>Dampak</w:t>
      </w:r>
      <w:r>
        <w:rPr>
          <w:b w:val="0"/>
          <w:i w:val="0"/>
          <w:u w:val="none"/>
        </w:rPr>
        <w:t>: percepatan pencairan 30‑45 hari, mengurangi gap Rp 250 jt.</w:t>
      </w:r>
    </w:p>
    <w:p>
      <w:pPr>
        <w:pStyle w:val="ListNumber"/>
        <w:jc w:val="left"/>
      </w:pPr>
      <w:r>
        <w:rPr>
          <w:b/>
          <w:i w:val="0"/>
          <w:u w:val="none"/>
        </w:rPr>
        <w:t>Standardisasi Penyelesaian Dispute</w:t>
      </w:r>
      <w:r>
        <w:rPr>
          <w:b w:val="0"/>
          <w:i w:val="0"/>
          <w:u w:val="none"/>
        </w:rPr>
        <w:t xml:space="preserve"> – Buat SOP “Dispute Resolution” dengan timeline 7 hari, melibatkan Project Lead &amp; Finance Manager. </w:t>
      </w:r>
      <w:r>
        <w:rPr>
          <w:b w:val="0"/>
          <w:i/>
          <w:u w:val="none"/>
        </w:rPr>
        <w:t>Dampak</w:t>
      </w:r>
      <w:r>
        <w:rPr>
          <w:b w:val="0"/>
          <w:i w:val="0"/>
          <w:u w:val="none"/>
        </w:rPr>
        <w:t>: menghindari penahanan invoice kelas E (Rp 165 jt) lebih dari 30 hari.</w:t>
      </w:r>
    </w:p>
    <w:p>
      <w:pPr>
        <w:pStyle w:val="ListNumber"/>
        <w:jc w:val="left"/>
      </w:pPr>
      <w:r>
        <w:rPr>
          <w:b/>
          <w:i w:val="0"/>
          <w:u w:val="none"/>
        </w:rPr>
        <w:t>Implementasi Checklist Dokumen</w:t>
      </w:r>
      <w:r>
        <w:rPr>
          <w:b w:val="0"/>
          <w:i w:val="0"/>
          <w:u w:val="none"/>
        </w:rPr>
        <w:t xml:space="preserve"> – Integrasikan ke workflow ERP, audit harian oleh Finance Collection. </w:t>
      </w:r>
      <w:r>
        <w:rPr>
          <w:b w:val="0"/>
          <w:i/>
          <w:u w:val="none"/>
        </w:rPr>
        <w:t>Dampak</w:t>
      </w:r>
      <w:r>
        <w:rPr>
          <w:b w:val="0"/>
          <w:i w:val="0"/>
          <w:u w:val="none"/>
        </w:rPr>
        <w:t>: mengurangi penundaan dokumen sebesar 20 % (≈ Rp 100 jt).</w:t>
      </w:r>
    </w:p>
    <w:p>
      <w:pPr>
        <w:jc w:val="both"/>
      </w:pPr>
      <w:r>
        <w:rPr>
          <w:b/>
          <w:i w:val="0"/>
          <w:u w:val="none"/>
        </w:rPr>
        <w:t>Owner Tindakan</w:t>
      </w:r>
      <w:r>
        <w:rPr>
          <w:b w:val="0"/>
          <w:i w:val="0"/>
          <w:u w:val="none"/>
        </w:rPr>
        <w:t xml:space="preserve"> – Finance Manager (koordinasi), Account Manager (eksekusi lapangan), Project Lead (dispute), Finance Collection (monitoring).</w:t>
      </w:r>
    </w:p>
    <w:p>
      <w:pPr>
        <w:jc w:val="both"/>
      </w:pPr>
      <w:r>
        <w:rPr>
          <w:b w:val="0"/>
          <w:i/>
          <w:u w:val="none"/>
        </w:rPr>
        <w:t>Catatan</w:t>
      </w:r>
      <w:r>
        <w:rPr>
          <w:b w:val="0"/>
          <w:i w:val="0"/>
          <w:u w:val="none"/>
        </w:rPr>
        <w:t>: Semua rekomendasi bersifat operasional dan dapat di‑track melalui KPI “Days Sales Outstanding (DSO)” serta “Cash‑in Realization Rate”. Implementasi dalam 30 hari pertama akan memberikan sinyal awal bagi proyeksi kuartal berikutnya.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Prediktif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Dasar Proyeksi</w:t>
      </w:r>
    </w:p>
    <w:p>
      <w:pPr>
        <w:pStyle w:val="ListBullet"/>
        <w:jc w:val="left"/>
      </w:pPr>
      <w:r>
        <w:rPr>
          <w:b/>
          <w:i w:val="0"/>
          <w:u w:val="none"/>
        </w:rPr>
        <w:t>Basis data</w:t>
      </w:r>
      <w:r>
        <w:rPr>
          <w:b w:val="0"/>
          <w:i w:val="0"/>
          <w:u w:val="none"/>
        </w:rPr>
        <w:t>: 49 invoice (total nilai Rp 6.963 jt) dengan 6 atribut utama (kelas pembayaran, tipe partner, layanan, nilai, skor risiko, status dokumen).</w:t>
      </w:r>
    </w:p>
    <w:p>
      <w:pPr>
        <w:pStyle w:val="ListBullet"/>
        <w:jc w:val="left"/>
      </w:pPr>
      <w:r>
        <w:rPr>
          <w:b/>
          <w:i w:val="0"/>
          <w:u w:val="none"/>
        </w:rPr>
        <w:t>Model</w:t>
      </w:r>
      <w:r>
        <w:rPr>
          <w:b w:val="0"/>
          <w:i w:val="0"/>
          <w:u w:val="none"/>
        </w:rPr>
        <w:t>: Penyesuaian cash‑in mengacu pada skor risiko rata‑rata (2.56 – 2.67) dan proporsi invoice terlambat (81.6 %).</w:t>
      </w:r>
    </w:p>
    <w:p>
      <w:pPr>
        <w:pStyle w:val="ListBullet"/>
        <w:jc w:val="left"/>
      </w:pPr>
      <w:r>
        <w:rPr>
          <w:b/>
          <w:i w:val="0"/>
          <w:u w:val="none"/>
        </w:rPr>
        <w:t>Asumsi utama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Distribusi kelas pembayaran tidak berubah secara signifikan kecuali intervensi koleksi.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Risiko likuiditas dan siklus anggaran tetap pada level historis (dokumen, approval, likuiditas masing‑masing muncul pada &gt; 9 catatan).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Tidak ada penambahan invoice baru di Q3 2026 (jumlah invoice konstan).</w:t>
      </w:r>
    </w:p>
    <w:p>
      <w:pPr>
        <w:pStyle w:val="Heading3"/>
        <w:jc w:val="left"/>
      </w:pPr>
      <w:r>
        <w:rPr>
          <w:b w:val="0"/>
          <w:i w:val="0"/>
          <w:u w:val="none"/>
        </w:rPr>
        <w:t>Skenario 1‑2 Kuartal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Estimasi Realisasi Cash‑In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Gap terhadap Total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Narasi Manajemen</w:t>
            </w:r>
          </w:p>
        </w:tc>
      </w:tr>
      <w:tr>
        <w:tc>
          <w:tcPr>
            <w:tcW w:type="dxa" w:w="2340"/>
          </w:tcPr>
          <w:p>
            <w:r>
              <w:t>Upside</w:t>
            </w:r>
          </w:p>
        </w:tc>
        <w:tc>
          <w:tcPr>
            <w:tcW w:type="dxa" w:w="2340"/>
          </w:tcPr>
          <w:p>
            <w:r>
              <w:t>Rp 5.682.560.000</w:t>
            </w:r>
          </w:p>
        </w:tc>
        <w:tc>
          <w:tcPr>
            <w:tcW w:type="dxa" w:w="2340"/>
          </w:tcPr>
          <w:p>
            <w:r>
              <w:t>Rp 1.280.440.000</w:t>
            </w:r>
          </w:p>
        </w:tc>
        <w:tc>
          <w:tcPr>
            <w:tcW w:type="dxa" w:w="2340"/>
          </w:tcPr>
          <w:p>
            <w:r>
              <w:t>Perbaikan cepat pada dokumen &amp; persetujuan, serta penetapan termin pembayaran tertulis pada akun‑akun prioritas (mis. Tech Startup, Audit SPBE).</w:t>
            </w:r>
          </w:p>
        </w:tc>
      </w:tr>
      <w:tr>
        <w:tc>
          <w:tcPr>
            <w:tcW w:type="dxa" w:w="2340"/>
          </w:tcPr>
          <w:p>
            <w:r>
              <w:t>Base Case</w:t>
            </w:r>
          </w:p>
        </w:tc>
        <w:tc>
          <w:tcPr>
            <w:tcW w:type="dxa" w:w="2340"/>
          </w:tcPr>
          <w:p>
            <w:r>
              <w:t>Rp 5.140.450.000</w:t>
            </w:r>
          </w:p>
        </w:tc>
        <w:tc>
          <w:tcPr>
            <w:tcW w:type="dxa" w:w="2340"/>
          </w:tcPr>
          <w:p>
            <w:r>
              <w:t>Rp 1.822.550.000</w:t>
            </w:r>
          </w:p>
        </w:tc>
        <w:tc>
          <w:tcPr>
            <w:tcW w:type="dxa" w:w="2340"/>
          </w:tcPr>
          <w:p>
            <w:r>
              <w:t>Pola historis berlanjut; koleksi tetap pada tingkat saat ini dengan risiko moderat.</w:t>
            </w:r>
          </w:p>
        </w:tc>
      </w:tr>
      <w:tr>
        <w:tc>
          <w:tcPr>
            <w:tcW w:type="dxa" w:w="2340"/>
          </w:tcPr>
          <w:p>
            <w:r>
              <w:t>Downside</w:t>
            </w:r>
          </w:p>
        </w:tc>
        <w:tc>
          <w:tcPr>
            <w:tcW w:type="dxa" w:w="2340"/>
          </w:tcPr>
          <w:p>
            <w:r>
              <w:t>Rp 4.466.650.000</w:t>
            </w:r>
          </w:p>
        </w:tc>
        <w:tc>
          <w:tcPr>
            <w:tcW w:type="dxa" w:w="2340"/>
          </w:tcPr>
          <w:p>
            <w:r>
              <w:t>Rp 2.496.350.000</w:t>
            </w:r>
          </w:p>
        </w:tc>
        <w:tc>
          <w:tcPr>
            <w:tcW w:type="dxa" w:w="2340"/>
          </w:tcPr>
          <w:p>
            <w:r>
              <w:t>Penurunan likuiditas atau penambahan dispute meningkatkan proporsi kelas D/E, menggerakkan cash‑in ke bawah.</w:t>
            </w:r>
          </w:p>
        </w:tc>
      </w:tr>
    </w:tbl>
    <w:p>
      <w:pPr>
        <w:pStyle w:val="ListBullet"/>
        <w:jc w:val="left"/>
      </w:pPr>
      <w:r>
        <w:rPr>
          <w:b/>
          <w:i w:val="0"/>
          <w:u w:val="none"/>
        </w:rPr>
        <w:t>Kuantifikasi perubahan</w:t>
      </w:r>
      <w:r>
        <w:rPr>
          <w:b w:val="0"/>
          <w:i w:val="0"/>
          <w:u w:val="none"/>
        </w:rPr>
        <w:t>: Setiap penurunan satu poin skor risiko rata‑rata (mis. dari 2.56 ke 1.56) diproyeksikan meningkatkan cash‑in sebesar ~ 5 % (≈ Rp 250 jt) karena pergeseran invoice ke kelas A/B.</w:t>
      </w:r>
    </w:p>
    <w:p>
      <w:pPr>
        <w:pStyle w:val="ListBullet"/>
        <w:jc w:val="left"/>
      </w:pPr>
      <w:r>
        <w:rPr>
          <w:b/>
          <w:i w:val="0"/>
          <w:u w:val="none"/>
        </w:rPr>
        <w:t>Pengaruh utama</w:t>
      </w:r>
      <w:r>
        <w:rPr>
          <w:b w:val="0"/>
          <w:i w:val="0"/>
          <w:u w:val="none"/>
        </w:rPr>
        <w:t xml:space="preserve">: 22.4 % invoice kelas D/E (nilai Rp 1.547 jt) menjadi “leverage point”. Mengonversi setengah nilai ini ke kelas C/B dapat menutup hingga </w:t>
      </w:r>
      <w:r>
        <w:rPr>
          <w:b/>
          <w:i w:val="0"/>
          <w:u w:val="none"/>
        </w:rPr>
        <w:t>Rp 300 jt</w:t>
      </w:r>
      <w:r>
        <w:rPr>
          <w:b w:val="0"/>
          <w:i w:val="0"/>
          <w:u w:val="none"/>
        </w:rPr>
        <w:t xml:space="preserve"> dari gap base case.</w:t>
      </w:r>
    </w:p>
    <w:p>
      <w:pPr>
        <w:pStyle w:val="Heading3"/>
        <w:jc w:val="left"/>
      </w:pPr>
      <w:r>
        <w:rPr>
          <w:b w:val="0"/>
          <w:i w:val="0"/>
          <w:u w:val="none"/>
        </w:rPr>
        <w:t>Implikasi terhadap Rencana Kas</w:t>
      </w:r>
    </w:p>
    <w:p>
      <w:pPr>
        <w:pStyle w:val="ListBullet"/>
        <w:jc w:val="left"/>
      </w:pPr>
      <w:r>
        <w:rPr>
          <w:b/>
          <w:i w:val="0"/>
          <w:u w:val="none"/>
        </w:rPr>
        <w:t>Cash‑in target 30 hari</w:t>
      </w:r>
      <w:r>
        <w:rPr>
          <w:b w:val="0"/>
          <w:i w:val="0"/>
          <w:u w:val="none"/>
        </w:rPr>
        <w:t>: Minimum Rp 5,2 jt (≈ 75 % total) diperlukan untuk menutupi beban operasional Q3 2026.</w:t>
      </w:r>
    </w:p>
    <w:p>
      <w:pPr>
        <w:pStyle w:val="ListBullet"/>
        <w:jc w:val="left"/>
      </w:pPr>
      <w:r>
        <w:rPr>
          <w:b/>
          <w:i w:val="0"/>
          <w:u w:val="none"/>
        </w:rPr>
        <w:t>Kebutuhan likuiditas tambahan</w:t>
      </w:r>
      <w:r>
        <w:rPr>
          <w:b w:val="0"/>
          <w:i w:val="0"/>
          <w:u w:val="none"/>
        </w:rPr>
        <w:t xml:space="preserve">: Jika realisasi berada pada downside, diperlukan fasilitas jangka pendek sebesar </w:t>
      </w:r>
      <w:r>
        <w:rPr>
          <w:b/>
          <w:i w:val="0"/>
          <w:u w:val="none"/>
        </w:rPr>
        <w:t>Rp 300 jt</w:t>
      </w:r>
      <w:r>
        <w:rPr>
          <w:b w:val="0"/>
          <w:i w:val="0"/>
          <w:u w:val="none"/>
        </w:rPr>
        <w:t xml:space="preserve"> atau penyesuaian biaya operasional.</w:t>
      </w:r>
    </w:p>
    <w:p>
      <w:pPr>
        <w:pStyle w:val="ListBullet"/>
        <w:jc w:val="left"/>
      </w:pPr>
      <w:r>
        <w:rPr>
          <w:b/>
          <w:i w:val="0"/>
          <w:u w:val="none"/>
        </w:rPr>
        <w:t>Pengaruh pada KPI</w:t>
      </w:r>
      <w:r>
        <w:rPr>
          <w:b w:val="0"/>
          <w:i w:val="0"/>
          <w:u w:val="none"/>
        </w:rPr>
        <w:t>: DSO (Days Sales Outstanding) diproyeksikan turun dari 78 hari (base) menjadi 65 hari (upside) bila aksi koleksi berhasil.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Rekomendasi Preskriptif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Prinsip Tindakan</w:t>
      </w:r>
    </w:p>
    <w:p>
      <w:pPr>
        <w:pStyle w:val="ListNumber"/>
        <w:jc w:val="left"/>
      </w:pPr>
      <w:r>
        <w:rPr>
          <w:b/>
          <w:i w:val="0"/>
          <w:u w:val="none"/>
        </w:rPr>
        <w:t>Prioritas pada invoice kelas D/E dengan nilai tinggi</w:t>
      </w:r>
      <w:r>
        <w:rPr>
          <w:b w:val="0"/>
          <w:i w:val="0"/>
          <w:u w:val="none"/>
        </w:rPr>
        <w:t xml:space="preserve"> – fokus pada 11 invoice (Rp 1.547 jt) yang menimbulkan 22 % eksposur risiko.</w:t>
      </w:r>
    </w:p>
    <w:p>
      <w:pPr>
        <w:pStyle w:val="ListNumber"/>
        <w:jc w:val="left"/>
      </w:pPr>
      <w:r>
        <w:rPr>
          <w:b/>
          <w:i w:val="0"/>
          <w:u w:val="none"/>
        </w:rPr>
        <w:t>Pendekatan berbasis bukti</w:t>
      </w:r>
      <w:r>
        <w:rPr>
          <w:b w:val="0"/>
          <w:i w:val="0"/>
          <w:u w:val="none"/>
        </w:rPr>
        <w:t xml:space="preserve"> – gunakan catatan internal (mis. “likuiditas pelanggan” pada 9 catatan) untuk menyesuaikan strategi negosiasi.</w:t>
      </w:r>
    </w:p>
    <w:p>
      <w:pPr>
        <w:pStyle w:val="ListNumber"/>
        <w:jc w:val="left"/>
      </w:pPr>
      <w:r>
        <w:rPr>
          <w:b/>
          <w:i w:val="0"/>
          <w:u w:val="none"/>
        </w:rPr>
        <w:t>Penguatan governance</w:t>
      </w:r>
      <w:r>
        <w:rPr>
          <w:b w:val="0"/>
          <w:i w:val="0"/>
          <w:u w:val="none"/>
        </w:rPr>
        <w:t xml:space="preserve"> – tetapkan owner jelas (Finance Manager, Account Manager) dan timeline eskalasi.</w:t>
      </w:r>
    </w:p>
    <w:p>
      <w:pPr>
        <w:pStyle w:val="Heading3"/>
        <w:jc w:val="left"/>
      </w:pPr>
      <w:r>
        <w:rPr>
          <w:b w:val="0"/>
          <w:i w:val="0"/>
          <w:u w:val="none"/>
        </w:rPr>
        <w:t>Prasyarat Implementasi</w:t>
      </w:r>
    </w:p>
    <w:p>
      <w:pPr>
        <w:pStyle w:val="ListBullet"/>
        <w:jc w:val="left"/>
      </w:pPr>
      <w:r>
        <w:rPr>
          <w:b/>
          <w:i w:val="0"/>
          <w:u w:val="none"/>
        </w:rPr>
        <w:t>Data governance</w:t>
      </w:r>
      <w:r>
        <w:rPr>
          <w:b w:val="0"/>
          <w:i w:val="0"/>
          <w:u w:val="none"/>
        </w:rPr>
        <w:t>: Verifikasi ulang status dokumen pada semua invoice kelas D/E (cek “dokumen &amp; administrasi” pada 20 catatan).</w:t>
      </w:r>
    </w:p>
    <w:p>
      <w:pPr>
        <w:pStyle w:val="ListBullet"/>
        <w:jc w:val="left"/>
      </w:pPr>
      <w:r>
        <w:rPr>
          <w:b/>
          <w:i w:val="0"/>
          <w:u w:val="none"/>
        </w:rPr>
        <w:t>Komunikasi lintas fungsi</w:t>
      </w:r>
      <w:r>
        <w:rPr>
          <w:b w:val="0"/>
          <w:i w:val="0"/>
          <w:u w:val="none"/>
        </w:rPr>
        <w:t>: Koordinasi dengan Legal (untuk perjanjian termin) dan Project Lead (untuk penyelesaian dispute ruang lingkup).</w:t>
      </w:r>
    </w:p>
    <w:p>
      <w:pPr>
        <w:pStyle w:val="ListBullet"/>
        <w:jc w:val="left"/>
      </w:pPr>
      <w:r>
        <w:rPr>
          <w:b/>
          <w:i w:val="0"/>
          <w:u w:val="none"/>
        </w:rPr>
        <w:t>Monitoring harian</w:t>
      </w:r>
      <w:r>
        <w:rPr>
          <w:b w:val="0"/>
          <w:i w:val="0"/>
          <w:u w:val="none"/>
        </w:rPr>
        <w:t>: Dashboard koleksi yang menampilkan skor risiko, kelas, dan status aksi.</w:t>
      </w:r>
    </w:p>
    <w:p>
      <w:pPr>
        <w:pStyle w:val="Heading3"/>
        <w:jc w:val="left"/>
      </w:pPr>
      <w:r>
        <w:rPr>
          <w:b w:val="0"/>
          <w:i w:val="0"/>
          <w:u w:val="none"/>
        </w:rPr>
        <w:t>Kesiapan Pelaksanaan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Kesiapan (1‑5)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3120"/>
          </w:tcPr>
          <w:p>
            <w:r>
              <w:t>Model proyeksi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Data demo, perlu validasi dengan sistem ERP.</w:t>
            </w:r>
          </w:p>
        </w:tc>
      </w:tr>
      <w:tr>
        <w:tc>
          <w:tcPr>
            <w:tcW w:type="dxa" w:w="3120"/>
          </w:tcPr>
          <w:p>
            <w:r>
              <w:t>Infrastruktur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Queue collection sudah aktif, cukup kapasitas.</w:t>
            </w:r>
          </w:p>
        </w:tc>
      </w:tr>
      <w:tr>
        <w:tc>
          <w:tcPr>
            <w:tcW w:type="dxa" w:w="3120"/>
          </w:tcPr>
          <w:p>
            <w:r>
              <w:t>People/Owner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Finance Manager dan Account Manager sudah di‑brief, perlu penunjukan “Escalation Owner”.</w:t>
            </w:r>
          </w:p>
        </w:tc>
      </w:tr>
      <w:tr>
        <w:tc>
          <w:tcPr>
            <w:tcW w:type="dxa" w:w="3120"/>
          </w:tcPr>
          <w:p>
            <w:r>
              <w:t>Governance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SOP koleksi ada, namun belum terintegrasi dengan risk‑score.</w:t>
            </w:r>
          </w:p>
        </w:tc>
      </w:tr>
    </w:tbl>
    <w:p>
      <w:pPr>
        <w:jc w:val="both"/>
      </w:pPr>
      <w:r>
        <w:rPr>
          <w:b/>
          <w:i w:val="0"/>
          <w:u w:val="none"/>
        </w:rPr>
        <w:t>Rekomendasi utama</w:t>
      </w:r>
      <w:r>
        <w:rPr>
          <w:b w:val="0"/>
          <w:i w:val="0"/>
          <w:u w:val="none"/>
        </w:rPr>
        <w:br/>
        <w:t xml:space="preserve">- </w:t>
      </w:r>
      <w:r>
        <w:rPr>
          <w:b/>
          <w:i w:val="0"/>
          <w:u w:val="none"/>
        </w:rPr>
        <w:t>Negosiasi termin tertulis</w:t>
      </w:r>
      <w:r>
        <w:rPr>
          <w:b w:val="0"/>
          <w:i w:val="0"/>
          <w:u w:val="none"/>
        </w:rPr>
        <w:t xml:space="preserve"> untuk 5 invoice Tech Startup (total Rp 630 jt) – target percepatan 30 % pembayaran dalam 30 hari.</w:t>
        <w:br/>
        <w:t xml:space="preserve">- </w:t>
      </w:r>
      <w:r>
        <w:rPr>
          <w:b/>
          <w:i w:val="0"/>
          <w:u w:val="none"/>
        </w:rPr>
        <w:t>Resolusi dispute</w:t>
      </w:r>
      <w:r>
        <w:rPr>
          <w:b w:val="0"/>
          <w:i w:val="0"/>
          <w:u w:val="none"/>
        </w:rPr>
        <w:t xml:space="preserve"> pada invoice Consulting Data Governance (Rp 165 jt) – libatkan Legal untuk finalisasi scope, target penyelesaian 2 minggu.</w:t>
        <w:br/>
        <w:t xml:space="preserve">- </w:t>
      </w:r>
      <w:r>
        <w:rPr>
          <w:b/>
          <w:i w:val="0"/>
          <w:u w:val="none"/>
        </w:rPr>
        <w:t>Validasi anggaran</w:t>
      </w:r>
      <w:r>
        <w:rPr>
          <w:b w:val="0"/>
          <w:i w:val="0"/>
          <w:u w:val="none"/>
        </w:rPr>
        <w:t xml:space="preserve"> pada Audit SPBE (Rp 250 jt) dan Bimtek AI Governance (Rp 145 jt) – hubungi PIC keuangan pemerintah, target konfirmasi jadwal pencairan dalam 10 hari.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59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Diagram alur rekomendasi mitigasi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Prioritas Tindakan 30 Hari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Prioritas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Fokus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Penanggung Jawab</w:t>
            </w:r>
          </w:p>
        </w:tc>
        <w:tc>
          <w:tcPr>
            <w:tcW w:type="dxa" w:w="1560"/>
          </w:tcPr>
          <w:p>
            <w:r>
              <w:rPr>
                <w:b/>
              </w:rPr>
              <w:t>Isu Utama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Aksi 30 Hari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Dampak yang Diharapkan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Tech Startup – Konsultasi Deployment Local LLM (Kelas E, Rp 180 jt)</w:t>
            </w:r>
          </w:p>
        </w:tc>
        <w:tc>
          <w:tcPr>
            <w:tcW w:type="dxa" w:w="1560"/>
          </w:tcPr>
          <w:p>
            <w:r>
              <w:t>Finance Manager +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Kirim proposal termin 30 hari + surat komitmen pembayaran; eskalasi ke CEO bila tidak ada respon dalam 7 hari</w:t>
            </w:r>
          </w:p>
        </w:tc>
        <w:tc>
          <w:tcPr>
            <w:tcW w:type="dxa" w:w="1560"/>
          </w:tcPr>
          <w:p>
            <w:r>
              <w:t>Percepatan cash‑in 30 % (≈ Rp 54 jt)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Corporate – Consulting Data Governance (Kelas E, Rp 165 jt)</w:t>
            </w:r>
          </w:p>
        </w:tc>
        <w:tc>
          <w:tcPr>
            <w:tcW w:type="dxa" w:w="1560"/>
          </w:tcPr>
          <w:p>
            <w:r>
              <w:t>Project Lead + Finance Manager</w:t>
            </w:r>
          </w:p>
        </w:tc>
        <w:tc>
          <w:tcPr>
            <w:tcW w:type="dxa" w:w="1560"/>
          </w:tcPr>
          <w:p>
            <w:r>
              <w:t>Sengketa ruang lingkup</w:t>
            </w:r>
          </w:p>
        </w:tc>
        <w:tc>
          <w:tcPr>
            <w:tcW w:type="dxa" w:w="1560"/>
          </w:tcPr>
          <w:p>
            <w:r>
              <w:t>Adakan meeting klarifikasi, finalisasi deliverable, dapatkan tanda tangan BAST; hold pekerjaan tambahan sampai dispute selesai</w:t>
            </w:r>
          </w:p>
        </w:tc>
        <w:tc>
          <w:tcPr>
            <w:tcW w:type="dxa" w:w="1560"/>
          </w:tcPr>
          <w:p>
            <w:r>
              <w:t>Cash‑in dipastikan penuh (Rp 165 jt) dalam 2 minggu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Tech Startup – Advisory MLOps (Kelas E, Rp 125 jt)</w:t>
            </w:r>
          </w:p>
        </w:tc>
        <w:tc>
          <w:tcPr>
            <w:tcW w:type="dxa" w:w="1560"/>
          </w:tcPr>
          <w:p>
            <w:r>
              <w:t>Finance Manager +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Negosiasi skema termin 45 hari, kirim reminder harian, siapkan surat peringatan</w:t>
            </w:r>
          </w:p>
        </w:tc>
        <w:tc>
          <w:tcPr>
            <w:tcW w:type="dxa" w:w="1560"/>
          </w:tcPr>
          <w:p>
            <w:r>
              <w:t>Cash‑in tambahan Rp 50 jt (40 %)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Tech Startup – Bootcamp Data Science (Kelas E, Rp 90 jt)</w:t>
            </w:r>
          </w:p>
        </w:tc>
        <w:tc>
          <w:tcPr>
            <w:tcW w:type="dxa" w:w="1560"/>
          </w:tcPr>
          <w:p>
            <w:r>
              <w:t>Finance Manager +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Tawarkan diskon 2 % bila bayar dalam 15 hari, kirim invoice revisi</w:t>
            </w:r>
          </w:p>
        </w:tc>
        <w:tc>
          <w:tcPr>
            <w:tcW w:type="dxa" w:w="1560"/>
          </w:tcPr>
          <w:p>
            <w:r>
              <w:t>Cash‑in Rp 90 jt (100 %) atau setidaknya Rp 72 jt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Instansi Pemerintah – Audit SPBE (Kelas D, Rp 250 jt)</w:t>
            </w:r>
          </w:p>
        </w:tc>
        <w:tc>
          <w:tcPr>
            <w:tcW w:type="dxa" w:w="1560"/>
          </w:tcPr>
          <w:p>
            <w:r>
              <w:t>Finance Collection + Account Manager</w:t>
            </w:r>
          </w:p>
        </w:tc>
        <w:tc>
          <w:tcPr>
            <w:tcW w:type="dxa" w:w="1560"/>
          </w:tcPr>
          <w:p>
            <w:r>
              <w:t>Siklus anggaran</w:t>
            </w:r>
          </w:p>
        </w:tc>
        <w:tc>
          <w:tcPr>
            <w:tcW w:type="dxa" w:w="1560"/>
          </w:tcPr>
          <w:p>
            <w:r>
              <w:t>Hubungi PIC keuangan, minta konfirmasi tanggal pencairan, siapkan eskalasi ke Direktorat terkait</w:t>
            </w:r>
          </w:p>
        </w:tc>
        <w:tc>
          <w:tcPr>
            <w:tcW w:type="dxa" w:w="1560"/>
          </w:tcPr>
          <w:p>
            <w:r>
              <w:t>Mengurangi risiko penundaan &gt; 30 hari, cash‑in dipercepat 20 % (≈ Rp 50 jt)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Pemerintahan Daerah – Bimtek AI Governance (Kelas D, Rp 145 jt)</w:t>
            </w:r>
          </w:p>
        </w:tc>
        <w:tc>
          <w:tcPr>
            <w:tcW w:type="dxa" w:w="1560"/>
          </w:tcPr>
          <w:p>
            <w:r>
              <w:t>Finance Collection + Account Manager</w:t>
            </w:r>
          </w:p>
        </w:tc>
        <w:tc>
          <w:tcPr>
            <w:tcW w:type="dxa" w:w="1560"/>
          </w:tcPr>
          <w:p>
            <w:r>
              <w:t>Siklus anggaran</w:t>
            </w:r>
          </w:p>
        </w:tc>
        <w:tc>
          <w:tcPr>
            <w:tcW w:type="dxa" w:w="1560"/>
          </w:tcPr>
          <w:p>
            <w:r>
              <w:t>Verifikasi APBD, minta persetujuan termin tertulis, catat progres harian</w:t>
            </w:r>
          </w:p>
        </w:tc>
        <w:tc>
          <w:tcPr>
            <w:tcW w:type="dxa" w:w="1560"/>
          </w:tcPr>
          <w:p>
            <w:r>
              <w:t>Cash‑in dipercepat 25 % (≈ Rp 36 jt)</w:t>
            </w:r>
          </w:p>
        </w:tc>
      </w:tr>
      <w:tr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Semua invoice kelas C/B dengan dokumen belum lengkap (total Rp ≈ 1,2 jt)</w:t>
            </w:r>
          </w:p>
        </w:tc>
        <w:tc>
          <w:tcPr>
            <w:tcW w:type="dxa" w:w="1560"/>
          </w:tcPr>
          <w:p>
            <w:r>
              <w:t>Finance Manager</w:t>
            </w:r>
          </w:p>
        </w:tc>
        <w:tc>
          <w:tcPr>
            <w:tcW w:type="dxa" w:w="1560"/>
          </w:tcPr>
          <w:p>
            <w:r>
              <w:t>Dokumen &amp; administrasi</w:t>
            </w:r>
          </w:p>
        </w:tc>
        <w:tc>
          <w:tcPr>
            <w:tcW w:type="dxa" w:w="1560"/>
          </w:tcPr>
          <w:p>
            <w:r>
              <w:t>Audit dokumen, kirim checklist ke klien, follow‑up harian</w:t>
            </w:r>
          </w:p>
        </w:tc>
        <w:tc>
          <w:tcPr>
            <w:tcW w:type="dxa" w:w="1560"/>
          </w:tcPr>
          <w:p>
            <w:r>
              <w:t>Mengurangi “dokumen missing” dari 20 catatan menjadi &lt; 5, mempercepat realisasi 5‑10 % nilai terkait</w:t>
            </w:r>
          </w:p>
        </w:tc>
      </w:tr>
      <w:tr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Monitoring &amp; Reporting</w:t>
            </w:r>
          </w:p>
        </w:tc>
        <w:tc>
          <w:tcPr>
            <w:tcW w:type="dxa" w:w="1560"/>
          </w:tcPr>
          <w:p>
            <w:r>
              <w:t>CFO (owner)</w:t>
            </w:r>
          </w:p>
        </w:tc>
        <w:tc>
          <w:tcPr>
            <w:tcW w:type="dxa" w:w="1560"/>
          </w:tcPr>
          <w:p>
            <w:r>
              <w:t>Governance</w:t>
            </w:r>
          </w:p>
        </w:tc>
        <w:tc>
          <w:tcPr>
            <w:tcW w:type="dxa" w:w="1560"/>
          </w:tcPr>
          <w:p>
            <w:r>
              <w:t>Deploy dashboard risk‑adjusted cash‑in, update tiap hari, review di meeting mingguan</w:t>
            </w:r>
          </w:p>
        </w:tc>
        <w:tc>
          <w:tcPr>
            <w:tcW w:type="dxa" w:w="1560"/>
          </w:tcPr>
          <w:p>
            <w:r>
              <w:t>Transparansi keputusan, memungkinkan penyesuaian cepat bila gap melebar &gt; Rp 200 jt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E6E6E"/>
        <w:sz w:val="18"/>
      </w:rPr>
    </w:r>
    <w:r>
      <w:rPr>
        <w:rFonts w:ascii="Calibri" w:hAnsi="Calibri"/>
        <w:color w:val="6E6E6E"/>
        <w:sz w:val="18"/>
      </w:rPr>
      <w:t xml:space="preserve">STRICTLY CONFIDENTIAL | Page </w:t>
    </w:r>
    <w:r>
      <w:rPr>
        <w:rFonts w:ascii="Calibri" w:hAnsi="Calibri"/>
        <w:color w:val="6E6E6E"/>
        <w:sz w:val="18"/>
      </w:rPr>
      <w:fldChar w:fldCharType="begin"/>
    </w:r>
    <w:r>
      <w:rPr>
        <w:rFonts w:ascii="Calibri" w:hAnsi="Calibri"/>
        <w:color w:val="6E6E6E"/>
        <w:sz w:val="18"/>
      </w:rPr>
      <w:instrText xml:space="preserve">PAGE</w:instrText>
    </w:r>
    <w:r>
      <w:rPr>
        <w:rFonts w:ascii="Calibri" w:hAnsi="Calibri"/>
        <w:color w:val="6E6E6E"/>
        <w:sz w:val="18"/>
      </w:rPr>
      <w:fldChar w:fldCharType="separate"/>
    </w:r>
    <w:r>
      <w:rPr>
        <w:rFonts w:ascii="Calibri" w:hAnsi="Calibri"/>
        <w:color w:val="6E6E6E"/>
        <w:sz w:val="18"/>
      </w:rPr>
      <w:t>1</w:t>
    </w:r>
    <w:r>
      <w:rPr>
        <w:rFonts w:ascii="Calibri" w:hAnsi="Calibri"/>
        <w:color w:val="6E6E6E"/>
        <w:sz w:val="18"/>
      </w:rPr>
      <w:fldChar w:fldCharType="end"/>
    </w:r>
    <w:r>
      <w:rPr>
        <w:rFonts w:ascii="Calibri" w:hAnsi="Calibri"/>
        <w:color w:val="6E6E6E"/>
        <w:sz w:val="18"/>
      </w:rPr>
      <w:t xml:space="preserve"> of </w:t>
    </w:r>
    <w:r>
      <w:rPr>
        <w:rFonts w:ascii="Calibri" w:hAnsi="Calibri"/>
        <w:color w:val="6E6E6E"/>
        <w:sz w:val="18"/>
      </w:rPr>
      <w:fldChar w:fldCharType="begin"/>
    </w:r>
    <w:r>
      <w:rPr>
        <w:rFonts w:ascii="Calibri" w:hAnsi="Calibri"/>
        <w:color w:val="6E6E6E"/>
        <w:sz w:val="18"/>
      </w:rPr>
      <w:instrText xml:space="preserve">NUMPAGES</w:instrText>
    </w:r>
    <w:r>
      <w:rPr>
        <w:rFonts w:ascii="Calibri" w:hAnsi="Calibri"/>
        <w:color w:val="6E6E6E"/>
        <w:sz w:val="18"/>
      </w:rPr>
      <w:fldChar w:fldCharType="separate"/>
    </w:r>
    <w:r>
      <w:rPr>
        <w:rFonts w:ascii="Calibri" w:hAnsi="Calibri"/>
        <w:color w:val="6E6E6E"/>
        <w:sz w:val="18"/>
      </w:rPr>
      <w:t>1</w:t>
    </w:r>
    <w:r>
      <w:rPr>
        <w:rFonts w:ascii="Calibri" w:hAnsi="Calibri"/>
        <w:color w:val="6E6E6E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787878"/>
        <w:sz w:val="16"/>
      </w:rPr>
    </w:r>
    <w:r>
      <w:rPr>
        <w:rFonts w:ascii="Calibri" w:hAnsi="Calibri"/>
        <w:color w:val="787878"/>
        <w:sz w:val="16"/>
      </w:rPr>
      <w:t>INIXINDO JOGJA | INTERNAL FINANCE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  <w:jc w:val="both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CC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/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/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Inixindo Cash In Intelligence Report</dc:title>
  <dc:subject>Internal Cash In Intelligence Report</dc:subject>
  <dc:creator>Inixindo Jogja - Finance &amp; Revenue Optimization Division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Finance</cp:category>
</cp:coreProperties>
</file>