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787878"/>
          <w:sz w:val="20"/>
        </w:rPr>
        <w:t>STRICTLY CONFIDENTIAL</w:t>
      </w:r>
    </w:p>
    <w:p/>
    <w:p>
      <w:pPr>
        <w:jc w:val="center"/>
      </w:pPr>
      <w:r>
        <w:rPr>
          <w:rFonts w:ascii="Calibri" w:hAnsi="Calibri"/>
          <w:b/>
          <w:sz w:val="44"/>
        </w:rPr>
        <w:t>CASH IN INTELLIGENCE REPORT</w:t>
      </w:r>
    </w:p>
    <w:p>
      <w:pPr>
        <w:jc w:val="center"/>
      </w:pPr>
      <w:r>
        <w:rPr>
          <w:rFonts w:ascii="Calibri" w:hAnsi="Calibri"/>
          <w:b/>
          <w:color w:val="CC0000"/>
          <w:sz w:val="68"/>
        </w:rPr>
        <w:t>INIXINDO JOGJA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Cakupan Data</w:t>
            </w:r>
          </w:p>
        </w:tc>
        <w:tc>
          <w:tcPr>
            <w:tcW w:type="dxa" w:w="4680"/>
          </w:tcPr>
          <w:p>
            <w:r>
              <w:t>Seluruh histori invoice dan catatan penagihan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Tipe Laporan</w:t>
            </w:r>
          </w:p>
        </w:tc>
        <w:tc>
          <w:tcPr>
            <w:tcW w:type="dxa" w:w="4680"/>
          </w:tcPr>
          <w:p>
            <w:r>
              <w:t>Analisis deskriptif, diagnostik, prediktif, dan preskriptif cash 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Tanggal Generasi</w:t>
            </w:r>
          </w:p>
        </w:tc>
        <w:tc>
          <w:tcPr>
            <w:tcW w:type="dxa" w:w="4680"/>
          </w:tcPr>
          <w:p>
            <w:r>
              <w:t>30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Disusun Oleh</w:t>
            </w:r>
          </w:p>
        </w:tc>
        <w:tc>
          <w:tcPr>
            <w:tcW w:type="dxa" w:w="4680"/>
          </w:tcPr>
          <w:p>
            <w:r>
              <w:t>Inixindo Jogja - Finance &amp; Revenue Optimization Division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Klik kanan lalu pilih Update Field untuk memuat daftar isi.</w:t>
      </w:r>
      <w:r>
        <w:fldChar w:fldCharType="end"/>
      </w:r>
    </w:p>
    <w:p>
      <w:pPr>
        <w:jc w:val="left"/>
      </w:pPr>
      <w:r>
        <w:rPr>
          <w:i/>
          <w:sz w:val="20"/>
        </w:rPr>
        <w:t>Catatan: jika daftar isi belum muncul, klik kanan pada area daftar isi lalu pilih Update Field.</w:t>
      </w:r>
    </w:p>
    <w:p>
      <w:r>
        <w:br w:type="page"/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Ringkasan Eksekutif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Snapshot Kondisi Cash‑In</w:t>
      </w:r>
    </w:p>
    <w:p>
      <w:pPr>
        <w:pStyle w:val="ListBullet"/>
        <w:jc w:val="left"/>
      </w:pPr>
      <w:r>
        <w:rPr>
          <w:b/>
          <w:i w:val="0"/>
          <w:u w:val="none"/>
        </w:rPr>
        <w:t>Portofolio yang dianalisis</w:t>
      </w:r>
      <w:r>
        <w:rPr>
          <w:b w:val="0"/>
          <w:i w:val="0"/>
          <w:u w:val="none"/>
        </w:rPr>
        <w:t xml:space="preserve">: 49 invoice dengan total nilai </w:t>
      </w:r>
      <w:r>
        <w:rPr>
          <w:b/>
          <w:i w:val="0"/>
          <w:u w:val="none"/>
        </w:rPr>
        <w:t>Rp 6.963.000.000</w:t>
      </w:r>
      <w:r>
        <w:rPr>
          <w:b w:val="0"/>
          <w:i w:val="0"/>
          <w:u w:val="none"/>
        </w:rPr>
        <w:t>.</w:t>
      </w:r>
    </w:p>
    <w:p>
      <w:pPr>
        <w:pStyle w:val="ListBullet"/>
        <w:jc w:val="left"/>
      </w:pPr>
      <w:r>
        <w:rPr>
          <w:b/>
          <w:i w:val="0"/>
          <w:u w:val="none"/>
        </w:rPr>
        <w:t>Invoice terlambat</w:t>
      </w:r>
      <w:r>
        <w:rPr>
          <w:b w:val="0"/>
          <w:i w:val="0"/>
          <w:u w:val="none"/>
        </w:rPr>
        <w:t xml:space="preserve">: 40 invoice (81,6 %) dengan nilai tertunda </w:t>
      </w:r>
      <w:r>
        <w:rPr>
          <w:b/>
          <w:i w:val="0"/>
          <w:u w:val="none"/>
        </w:rPr>
        <w:t>Rp 5.650.000.000</w:t>
      </w:r>
      <w:r>
        <w:rPr>
          <w:b w:val="0"/>
          <w:i w:val="0"/>
          <w:u w:val="none"/>
        </w:rPr>
        <w:t>.</w:t>
      </w:r>
    </w:p>
    <w:p>
      <w:pPr>
        <w:pStyle w:val="ListBullet"/>
        <w:jc w:val="left"/>
      </w:pPr>
      <w:r>
        <w:rPr>
          <w:b/>
          <w:i w:val="0"/>
          <w:u w:val="none"/>
        </w:rPr>
        <w:t>Eksposur risiko tinggi (Kelas D/E)</w:t>
      </w:r>
      <w:r>
        <w:rPr>
          <w:b w:val="0"/>
          <w:i w:val="0"/>
          <w:u w:val="none"/>
        </w:rPr>
        <w:t xml:space="preserve">: 11 invoice (22,4 %) senilai </w:t>
      </w:r>
      <w:r>
        <w:rPr>
          <w:b/>
          <w:i w:val="0"/>
          <w:u w:val="none"/>
        </w:rPr>
        <w:t>Rp 1.547.000.000</w:t>
      </w:r>
      <w:r>
        <w:rPr>
          <w:b w:val="0"/>
          <w:i w:val="0"/>
          <w:u w:val="none"/>
        </w:rPr>
        <w:t>.</w:t>
      </w:r>
    </w:p>
    <w:p>
      <w:pPr>
        <w:pStyle w:val="ListBullet"/>
        <w:jc w:val="left"/>
      </w:pPr>
      <w:r>
        <w:rPr>
          <w:b/>
          <w:i w:val="0"/>
          <w:u w:val="none"/>
        </w:rPr>
        <w:t>Skor risiko rata‑rata</w:t>
      </w:r>
      <w:r>
        <w:rPr>
          <w:b w:val="0"/>
          <w:i w:val="0"/>
          <w:u w:val="none"/>
        </w:rPr>
        <w:t xml:space="preserve"> menurun menjadi </w:t>
      </w:r>
      <w:r>
        <w:rPr>
          <w:b/>
          <w:i w:val="0"/>
          <w:u w:val="none"/>
        </w:rPr>
        <w:t>2,56</w:t>
      </w:r>
      <w:r>
        <w:rPr>
          <w:b w:val="0"/>
          <w:i w:val="0"/>
          <w:u w:val="none"/>
        </w:rPr>
        <w:t xml:space="preserve"> (dari 2,67 pada Q2‑2026) – menandakan perbaikan kualitas penagihan.</w:t>
      </w:r>
    </w:p>
    <w:p>
      <w:pPr>
        <w:pStyle w:val="ListBullet"/>
        <w:jc w:val="left"/>
      </w:pPr>
      <w:r>
        <w:rPr>
          <w:b/>
          <w:i w:val="0"/>
          <w:u w:val="none"/>
        </w:rPr>
        <w:t>Estimasi cash‑in risk‑adjusted (base case)</w:t>
      </w:r>
      <w:r>
        <w:rPr>
          <w:b w:val="0"/>
          <w:i w:val="0"/>
          <w:u w:val="none"/>
        </w:rPr>
        <w:t xml:space="preserve">: </w:t>
      </w:r>
      <w:r>
        <w:rPr>
          <w:b/>
          <w:i w:val="0"/>
          <w:u w:val="none"/>
        </w:rPr>
        <w:t>Rp 5.140.450.000</w:t>
      </w:r>
      <w:r>
        <w:rPr>
          <w:b w:val="0"/>
          <w:i w:val="0"/>
          <w:u w:val="none"/>
        </w:rPr>
        <w:t xml:space="preserve"> (73,8 % dari total nilai invoice).</w:t>
      </w:r>
    </w:p>
    <w:p>
      <w:pPr>
        <w:pStyle w:val="ListBullet"/>
        <w:jc w:val="left"/>
      </w:pPr>
      <w:r>
        <w:rPr>
          <w:b/>
          <w:i w:val="0"/>
          <w:u w:val="none"/>
        </w:rPr>
        <w:t>Gap cash‑in</w:t>
      </w:r>
      <w:r>
        <w:rPr>
          <w:b w:val="0"/>
          <w:i w:val="0"/>
          <w:u w:val="none"/>
        </w:rPr>
        <w:t xml:space="preserve">: </w:t>
      </w:r>
      <w:r>
        <w:rPr>
          <w:b/>
          <w:i w:val="0"/>
          <w:u w:val="none"/>
        </w:rPr>
        <w:t>Rp 1.822.550.000</w:t>
      </w:r>
      <w:r>
        <w:rPr>
          <w:b w:val="0"/>
          <w:i w:val="0"/>
          <w:u w:val="none"/>
        </w:rPr>
        <w:t xml:space="preserve"> masih harus ditutup.</w:t>
      </w:r>
    </w:p>
    <w:p>
      <w:pPr>
        <w:pStyle w:val="Heading3"/>
        <w:jc w:val="left"/>
      </w:pPr>
      <w:r>
        <w:rPr>
          <w:b w:val="0"/>
          <w:i w:val="0"/>
          <w:u w:val="none"/>
        </w:rPr>
        <w:t>Bottleneck Penagihan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Penyebab utama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Contoh invoice (periode)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terpengaruh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Dampak operasional</w:t>
            </w:r>
          </w:p>
        </w:tc>
      </w:tr>
      <w:tr>
        <w:tc>
          <w:tcPr>
            <w:tcW w:type="dxa" w:w="2340"/>
          </w:tcPr>
          <w:p>
            <w:r>
              <w:t>Likuiditas pelanggan (Tech Startup)</w:t>
            </w:r>
          </w:p>
        </w:tc>
        <w:tc>
          <w:tcPr>
            <w:tcW w:type="dxa" w:w="2340"/>
          </w:tcPr>
          <w:p>
            <w:r>
              <w:t>Advisory MLOps – Q3 2026</w:t>
            </w:r>
          </w:p>
        </w:tc>
        <w:tc>
          <w:tcPr>
            <w:tcW w:type="dxa" w:w="2340"/>
          </w:tcPr>
          <w:p>
            <w:r>
              <w:t>Rp 125.000.000</w:t>
            </w:r>
          </w:p>
        </w:tc>
        <w:tc>
          <w:tcPr>
            <w:tcW w:type="dxa" w:w="2340"/>
          </w:tcPr>
          <w:p>
            <w:r>
              <w:t>“likuiditas sangat rendah, CFO sulit dihubungi, disarankan eskalasi legal”.</w:t>
            </w:r>
          </w:p>
        </w:tc>
      </w:tr>
      <w:tr>
        <w:tc>
          <w:tcPr>
            <w:tcW w:type="dxa" w:w="2340"/>
          </w:tcPr>
          <w:p>
            <w:r>
              <w:t>Dispute ruang lingkup</w:t>
            </w:r>
          </w:p>
        </w:tc>
        <w:tc>
          <w:tcPr>
            <w:tcW w:type="dxa" w:w="2340"/>
          </w:tcPr>
          <w:p>
            <w:r>
              <w:t>Consulting Data Governance – Q2 2026</w:t>
            </w:r>
          </w:p>
        </w:tc>
        <w:tc>
          <w:tcPr>
            <w:tcW w:type="dxa" w:w="2340"/>
          </w:tcPr>
          <w:p>
            <w:r>
              <w:t>Rp 165.000.000</w:t>
            </w:r>
          </w:p>
        </w:tc>
        <w:tc>
          <w:tcPr>
            <w:tcW w:type="dxa" w:w="2340"/>
          </w:tcPr>
          <w:p>
            <w:r>
              <w:t>“sengketa ruang lingkup, klarifikasi deliverable belum selesai, invoice ditahan procurement”.</w:t>
            </w:r>
          </w:p>
        </w:tc>
      </w:tr>
      <w:tr>
        <w:tc>
          <w:tcPr>
            <w:tcW w:type="dxa" w:w="2340"/>
          </w:tcPr>
          <w:p>
            <w:r>
              <w:t>Siklus anggaran pemerintah</w:t>
            </w:r>
          </w:p>
        </w:tc>
        <w:tc>
          <w:tcPr>
            <w:tcW w:type="dxa" w:w="2340"/>
          </w:tcPr>
          <w:p>
            <w:r>
              <w:t>Audit SPBE (Instansi Pemerintah) – Q3 2026</w:t>
            </w:r>
          </w:p>
        </w:tc>
        <w:tc>
          <w:tcPr>
            <w:tcW w:type="dxa" w:w="2340"/>
          </w:tcPr>
          <w:p>
            <w:r>
              <w:t>Rp 250.000.000</w:t>
            </w:r>
          </w:p>
        </w:tc>
        <w:tc>
          <w:tcPr>
            <w:tcW w:type="dxa" w:w="2340"/>
          </w:tcPr>
          <w:p>
            <w:r>
              <w:t>“perubahan APBD, backlog tanda tangan, revisi dokumen menyebabkan penundaan”.</w:t>
            </w:r>
          </w:p>
        </w:tc>
      </w:tr>
      <w:tr>
        <w:tc>
          <w:tcPr>
            <w:tcW w:type="dxa" w:w="2340"/>
          </w:tcPr>
          <w:p>
            <w:r>
              <w:t>Dokumen &amp; persetujuan internal</w:t>
            </w:r>
          </w:p>
        </w:tc>
        <w:tc>
          <w:tcPr>
            <w:tcW w:type="dxa" w:w="2340"/>
          </w:tcPr>
          <w:p>
            <w:r>
              <w:t>Audit Keamanan Aplikasi – Q2 2026</w:t>
            </w:r>
          </w:p>
        </w:tc>
        <w:tc>
          <w:tcPr>
            <w:tcW w:type="dxa" w:w="2340"/>
          </w:tcPr>
          <w:p>
            <w:r>
              <w:t>Rp 135.000.000</w:t>
            </w:r>
          </w:p>
        </w:tc>
        <w:tc>
          <w:tcPr>
            <w:tcW w:type="dxa" w:w="2340"/>
          </w:tcPr>
          <w:p>
            <w:r>
              <w:t>“direktur minta revisi PO, dokumen tambahan sebelum termin”.</w:t>
            </w:r>
          </w:p>
        </w:tc>
      </w:tr>
      <w:tr>
        <w:tc>
          <w:tcPr>
            <w:tcW w:type="dxa" w:w="2340"/>
          </w:tcPr>
          <w:p>
            <w:r>
              <w:t>Keterlambatan proses BAST/PO</w:t>
            </w:r>
          </w:p>
        </w:tc>
        <w:tc>
          <w:tcPr>
            <w:tcW w:type="dxa" w:w="2340"/>
          </w:tcPr>
          <w:p>
            <w:r>
              <w:t>Konsultasi IT Masterplan – Q1 2026</w:t>
            </w:r>
          </w:p>
        </w:tc>
        <w:tc>
          <w:tcPr>
            <w:tcW w:type="dxa" w:w="2340"/>
          </w:tcPr>
          <w:p>
            <w:r>
              <w:t>Rp 300.000.000</w:t>
            </w:r>
          </w:p>
        </w:tc>
        <w:tc>
          <w:tcPr>
            <w:tcW w:type="dxa" w:w="2340"/>
          </w:tcPr>
          <w:p>
            <w:r>
              <w:t>“tanda tangan direksi memakan waktu, termin tertunda 1‑2 minggu”.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Proyeksi 1‑2 Kuartal (Skenario)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Cash‑In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 5.682.560.000</w:t>
            </w:r>
          </w:p>
        </w:tc>
        <w:tc>
          <w:tcPr>
            <w:tcW w:type="dxa" w:w="2340"/>
          </w:tcPr>
          <w:p>
            <w:r>
              <w:t>Rp 1.280.440.000</w:t>
            </w:r>
          </w:p>
        </w:tc>
        <w:tc>
          <w:tcPr>
            <w:tcW w:type="dxa" w:w="2340"/>
          </w:tcPr>
          <w:p>
            <w:r>
              <w:t>Jika approval, dokumen, dan termin pada akun prioritas dipercepat (mis. negosiasi termin, penyelesaian dispute).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 5.140.450.000</w:t>
            </w:r>
          </w:p>
        </w:tc>
        <w:tc>
          <w:tcPr>
            <w:tcW w:type="dxa" w:w="2340"/>
          </w:tcPr>
          <w:p>
            <w:r>
              <w:t>Rp 1.822.550.000</w:t>
            </w:r>
          </w:p>
        </w:tc>
        <w:tc>
          <w:tcPr>
            <w:tcW w:type="dxa" w:w="2340"/>
          </w:tcPr>
          <w:p>
            <w:r>
              <w:t>Pola historis tetap; koleksi berjalan sesuai tren Q3‑2026.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 4.466.650.000</w:t>
            </w:r>
          </w:p>
        </w:tc>
        <w:tc>
          <w:tcPr>
            <w:tcW w:type="dxa" w:w="2340"/>
          </w:tcPr>
          <w:p>
            <w:r>
              <w:t>Rp 2.496.350.000</w:t>
            </w:r>
          </w:p>
        </w:tc>
        <w:tc>
          <w:tcPr>
            <w:tcW w:type="dxa" w:w="2340"/>
          </w:tcPr>
          <w:p>
            <w:r>
              <w:t>Jika siklus anggaran, likuiditas, atau dispute memburuk, lebih banyak invoice beralih ke Kelas D/E.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Manajemen</w:t>
      </w:r>
    </w:p>
    <w:p>
      <w:pPr>
        <w:pStyle w:val="ListNumber"/>
        <w:jc w:val="left"/>
      </w:pPr>
      <w:r>
        <w:rPr>
          <w:b/>
          <w:i w:val="0"/>
          <w:u w:val="none"/>
        </w:rPr>
        <w:t>Cash‑flow</w:t>
      </w:r>
      <w:r>
        <w:rPr>
          <w:b w:val="0"/>
          <w:i w:val="0"/>
          <w:u w:val="none"/>
        </w:rPr>
        <w:t xml:space="preserve">: Gap ≈ Rp 1,8 miliar menekan likuiditas operasional; diperlukan penutupan setidaknya </w:t>
      </w:r>
      <w:r>
        <w:rPr>
          <w:b/>
          <w:i w:val="0"/>
          <w:u w:val="none"/>
        </w:rPr>
        <w:t>30 %</w:t>
      </w:r>
      <w:r>
        <w:rPr>
          <w:b w:val="0"/>
          <w:i w:val="0"/>
          <w:u w:val="none"/>
        </w:rPr>
        <w:t xml:space="preserve"> dari nilai eksposur risiko tinggi dalam 30 hari untuk menjaga rasio cash‑in &gt; 70 %.</w:t>
      </w:r>
    </w:p>
    <w:p>
      <w:pPr>
        <w:pStyle w:val="ListNumber"/>
        <w:jc w:val="left"/>
      </w:pPr>
      <w:r>
        <w:rPr>
          <w:b/>
          <w:i w:val="0"/>
          <w:u w:val="none"/>
        </w:rPr>
        <w:t>Kepatuhan &amp; Governance</w:t>
      </w:r>
      <w:r>
        <w:rPr>
          <w:b w:val="0"/>
          <w:i w:val="0"/>
          <w:u w:val="none"/>
        </w:rPr>
        <w:t>: Tingginya frekuensi “dokumen &amp; administrasi” (20 catatan) dan “siklus anggaran” (11 catatan) menuntut kontrol proses yang lebih ketat serta monitoring real‑time.</w:t>
      </w:r>
    </w:p>
    <w:p>
      <w:pPr>
        <w:pStyle w:val="ListNumber"/>
        <w:jc w:val="left"/>
      </w:pPr>
      <w:r>
        <w:rPr>
          <w:b/>
          <w:i w:val="0"/>
          <w:u w:val="none"/>
        </w:rPr>
        <w:t>Risiko Kredit</w:t>
      </w:r>
      <w:r>
        <w:rPr>
          <w:b w:val="0"/>
          <w:i w:val="0"/>
          <w:u w:val="none"/>
        </w:rPr>
        <w:t xml:space="preserve">: Konsentrasi pada </w:t>
      </w:r>
      <w:r>
        <w:rPr>
          <w:b/>
          <w:i w:val="0"/>
          <w:u w:val="none"/>
        </w:rPr>
        <w:t>Tech Startup</w:t>
      </w:r>
      <w:r>
        <w:rPr>
          <w:b w:val="0"/>
          <w:i w:val="0"/>
          <w:u w:val="none"/>
        </w:rPr>
        <w:t xml:space="preserve"> (≈ 40 % nilai D/E) meningkatkan eksposur likuiditas; perlu penilaian ulang limit kredit dan/atau penawaran skema pembayaran bertahap.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Prioritas Tindakan 30 Hari</w:t>
      </w:r>
    </w:p>
    <w:p>
      <w:pPr>
        <w:pStyle w:val="ListNumber"/>
        <w:jc w:val="left"/>
      </w:pPr>
      <w:r>
        <w:rPr>
          <w:b/>
          <w:i w:val="0"/>
          <w:u w:val="none"/>
        </w:rPr>
        <w:t>Negosiasi termin &amp; komitmen tertulis</w:t>
      </w:r>
      <w:r>
        <w:rPr>
          <w:b w:val="0"/>
          <w:i w:val="0"/>
          <w:u w:val="none"/>
        </w:rPr>
        <w:t xml:space="preserve"> untuk semua invoice Kelas E (Tech Startup – Advisory MLOps, Consulting Data Governance, Bootcamp DS).</w:t>
      </w:r>
    </w:p>
    <w:p>
      <w:pPr>
        <w:pStyle w:val="ListNumber"/>
        <w:jc w:val="left"/>
      </w:pPr>
      <w:r>
        <w:rPr>
          <w:b/>
          <w:i w:val="0"/>
          <w:u w:val="none"/>
        </w:rPr>
        <w:t>Penyelesaian dispute ruang lingkup</w:t>
      </w:r>
      <w:r>
        <w:rPr>
          <w:b w:val="0"/>
          <w:i w:val="0"/>
          <w:u w:val="none"/>
        </w:rPr>
        <w:t xml:space="preserve"> pada invoice Rp 165 juta (Consulting Data Governance) – libatkan Project Lead &amp; Legal untuk finalisasi deliverable.</w:t>
      </w:r>
    </w:p>
    <w:p>
      <w:pPr>
        <w:pStyle w:val="ListNumber"/>
        <w:jc w:val="left"/>
      </w:pPr>
      <w:r>
        <w:rPr>
          <w:b/>
          <w:i w:val="0"/>
          <w:u w:val="none"/>
        </w:rPr>
        <w:t>Validasi anggaran &amp; jadwal pencairan</w:t>
      </w:r>
      <w:r>
        <w:rPr>
          <w:b w:val="0"/>
          <w:i w:val="0"/>
          <w:u w:val="none"/>
        </w:rPr>
        <w:t xml:space="preserve"> dengan PIC Instansi Pemerintah &amp; Pemerintahan Daerah (Audit SPBE, Bimtek AI Governance).</w:t>
      </w:r>
    </w:p>
    <w:p>
      <w:pPr>
        <w:pStyle w:val="ListNumber"/>
        <w:jc w:val="left"/>
      </w:pPr>
      <w:r>
        <w:rPr>
          <w:b/>
          <w:i w:val="0"/>
          <w:u w:val="none"/>
        </w:rPr>
        <w:t>Eskalasi manajemen</w:t>
      </w:r>
      <w:r>
        <w:rPr>
          <w:b w:val="0"/>
          <w:i w:val="0"/>
          <w:u w:val="none"/>
        </w:rPr>
        <w:t xml:space="preserve"> ke CFO &amp; Direktur Operasional untuk akun dengan likuiditas kritis (Tech Startup) – siapkan opsi legal bila tidak ada progres dalam 14 hari.</w:t>
      </w:r>
    </w:p>
    <w:p>
      <w:pPr>
        <w:pStyle w:val="ListNumber"/>
        <w:jc w:val="left"/>
      </w:pPr>
      <w:r>
        <w:rPr>
          <w:b/>
          <w:i w:val="0"/>
          <w:u w:val="none"/>
        </w:rPr>
        <w:t>Penguatan kontrol dokumen</w:t>
      </w:r>
      <w:r>
        <w:rPr>
          <w:b w:val="0"/>
          <w:i w:val="0"/>
          <w:u w:val="none"/>
        </w:rPr>
        <w:t>: implementasi checklist persetujuan internal &amp; verifikasi PO pada semua invoice B‑C yang masih menunggu tanda tangan.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Dampak Bisnis</w:t>
      </w:r>
    </w:p>
    <w:p>
      <w:pPr>
        <w:pStyle w:val="ListBullet"/>
        <w:jc w:val="left"/>
      </w:pPr>
      <w:r>
        <w:rPr>
          <w:b/>
          <w:i w:val="0"/>
          <w:u w:val="none"/>
        </w:rPr>
        <w:t>Perbaikan cash‑in</w:t>
      </w:r>
      <w:r>
        <w:rPr>
          <w:b w:val="0"/>
          <w:i w:val="0"/>
          <w:u w:val="none"/>
        </w:rPr>
        <w:t xml:space="preserve"> sebesar </w:t>
      </w:r>
      <w:r>
        <w:rPr>
          <w:b/>
          <w:i w:val="0"/>
          <w:u w:val="none"/>
        </w:rPr>
        <w:t>Rp 542.110.000</w:t>
      </w:r>
      <w:r>
        <w:rPr>
          <w:b w:val="0"/>
          <w:i w:val="0"/>
          <w:u w:val="none"/>
        </w:rPr>
        <w:t xml:space="preserve"> (≈ 8 % total invoice) dapat dicapai dengan menutup 4‑5 invoice Kelas E/D dalam 30 hari, mengurangi kebutuhan pinjaman jangka pendek dan menurunkan beban bunga.</w:t>
      </w:r>
    </w:p>
    <w:p>
      <w:pPr>
        <w:pStyle w:val="ListBullet"/>
        <w:jc w:val="left"/>
      </w:pPr>
      <w:r>
        <w:rPr>
          <w:b/>
          <w:i w:val="0"/>
          <w:u w:val="none"/>
        </w:rPr>
        <w:t>Pengurangan risiko kredit</w:t>
      </w:r>
      <w:r>
        <w:rPr>
          <w:b w:val="0"/>
          <w:i w:val="0"/>
          <w:u w:val="none"/>
        </w:rPr>
        <w:t xml:space="preserve"> pada segmen Tech Startup menurunkan eksposur risiko tinggi dari </w:t>
      </w:r>
      <w:r>
        <w:rPr>
          <w:b/>
          <w:i w:val="0"/>
          <w:u w:val="none"/>
        </w:rPr>
        <w:t>22,4 %</w:t>
      </w:r>
      <w:r>
        <w:rPr>
          <w:b w:val="0"/>
          <w:i w:val="0"/>
          <w:u w:val="none"/>
        </w:rPr>
        <w:t xml:space="preserve"> menjadi di bawah </w:t>
      </w:r>
      <w:r>
        <w:rPr>
          <w:b/>
          <w:i w:val="0"/>
          <w:u w:val="none"/>
        </w:rPr>
        <w:t>15 %</w:t>
      </w:r>
      <w:r>
        <w:rPr>
          <w:b w:val="0"/>
          <w:i w:val="0"/>
          <w:u w:val="none"/>
        </w:rPr>
        <w:t>, meningkatkan rating internal kredit portofolio.</w:t>
      </w:r>
    </w:p>
    <w:p>
      <w:pPr>
        <w:pStyle w:val="ListBullet"/>
        <w:jc w:val="left"/>
      </w:pPr>
      <w:r>
        <w:rPr>
          <w:b/>
          <w:i w:val="0"/>
          <w:u w:val="none"/>
        </w:rPr>
        <w:t>Kepatuhan proses</w:t>
      </w:r>
      <w:r>
        <w:rPr>
          <w:b w:val="0"/>
          <w:i w:val="0"/>
          <w:u w:val="none"/>
        </w:rPr>
        <w:t xml:space="preserve"> yang lebih ketat menurunkan frekuensi “dokumen &amp; administrasi” dari 20 ke ≤ 10 catatan, mempercepat siklus DSO (Days Sales Outstanding) sebesar </w:t>
      </w:r>
      <w:r>
        <w:rPr>
          <w:b/>
          <w:i w:val="0"/>
          <w:u w:val="none"/>
        </w:rPr>
        <w:t>5‑7 hari</w:t>
      </w:r>
      <w:r>
        <w:rPr>
          <w:b w:val="0"/>
          <w:i w:val="0"/>
          <w:u w:val="none"/>
        </w:rPr>
        <w:t>.</w:t>
      </w:r>
    </w:p>
    <w:p>
      <w:pPr>
        <w:pStyle w:val="Heading3"/>
        <w:jc w:val="left"/>
      </w:pPr>
      <w:r>
        <w:rPr>
          <w:b w:val="0"/>
          <w:i w:val="0"/>
          <w:u w:val="none"/>
        </w:rPr>
        <w:t>Tingkat Keyakinan dan Caveat</w:t>
      </w:r>
    </w:p>
    <w:p>
      <w:pPr>
        <w:pStyle w:val="ListBullet"/>
        <w:jc w:val="left"/>
      </w:pPr>
      <w:r>
        <w:rPr>
          <w:b/>
          <w:i w:val="0"/>
          <w:u w:val="none"/>
        </w:rPr>
        <w:t>Keyakinan data</w:t>
      </w:r>
      <w:r>
        <w:rPr>
          <w:b w:val="0"/>
          <w:i w:val="0"/>
          <w:u w:val="none"/>
        </w:rPr>
        <w:t>: 3/5 – dataset internal terbatas pada 49 invoice; semua metrik telah diverifikasi, namun tidak mencakup invoice di luar periode Q2‑2026.</w:t>
      </w:r>
    </w:p>
    <w:p>
      <w:pPr>
        <w:pStyle w:val="ListBullet"/>
        <w:jc w:val="left"/>
      </w:pPr>
      <w:r>
        <w:rPr>
          <w:b/>
          <w:i w:val="0"/>
          <w:u w:val="none"/>
        </w:rPr>
        <w:t>Asumsi utama</w:t>
      </w:r>
      <w:r>
        <w:rPr>
          <w:b w:val="0"/>
          <w:i w:val="0"/>
          <w:u w:val="none"/>
        </w:rPr>
        <w:t>: pola keterlambatan dan skor risiko tetap konstan kecuali ada intervensi yang dijalankan; tidak ada perubahan regulasi mendadak pada proses pengadaan pemerintah.</w:t>
      </w:r>
    </w:p>
    <w:p>
      <w:pPr>
        <w:pStyle w:val="ListBullet"/>
        <w:jc w:val="left"/>
      </w:pPr>
      <w:r>
        <w:rPr>
          <w:b/>
          <w:i w:val="0"/>
          <w:u w:val="none"/>
        </w:rPr>
        <w:t>Caveat</w:t>
      </w:r>
      <w:r>
        <w:rPr>
          <w:b w:val="0"/>
          <w:i w:val="0"/>
          <w:u w:val="none"/>
        </w:rPr>
        <w:t xml:space="preserve">: faktor eksternal seperti </w:t>
      </w:r>
      <w:r>
        <w:rPr>
          <w:b/>
          <w:i w:val="0"/>
          <w:u w:val="none"/>
        </w:rPr>
        <w:t>siklus anggaran pemerintah</w:t>
      </w:r>
      <w:r>
        <w:rPr>
          <w:b w:val="0"/>
          <w:i w:val="0"/>
          <w:u w:val="none"/>
        </w:rPr>
        <w:t xml:space="preserve"> (berakhir September, sesuai laporan DJPPR 2025) dapat menunda pencairan lebih lama dari perkiraan; likuiditas startup sangat sensitif terhadap kondisi pasar modal, sehingga skenario downside tetap realistis.</w:t>
      </w:r>
    </w:p>
    <w:p>
      <w:pPr>
        <w:pStyle w:val="ListBullet"/>
        <w:jc w:val="left"/>
      </w:pPr>
      <w:r>
        <w:rPr>
          <w:b/>
          <w:i w:val="0"/>
          <w:u w:val="none"/>
        </w:rPr>
        <w:t>Kontrol risiko</w:t>
      </w:r>
      <w:r>
        <w:rPr>
          <w:b w:val="0"/>
          <w:i w:val="0"/>
          <w:u w:val="none"/>
        </w:rPr>
        <w:t>: rekomendasi aksi 30 hari harus dipantau melalui dashboard harian koleksi; setiap deviasi &gt; 5 % dari target cash‑in harus dilaporkan ke CFO untuk penyesuaian strategi.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Deskriptif Cash In</w:t>
      </w:r>
    </w:p>
    <w:p>
      <w:pPr>
        <w:pStyle w:val="Heading3"/>
        <w:jc w:val="left"/>
      </w:pPr>
      <w:r>
        <w:rPr>
          <w:b w:val="0"/>
          <w:i w:val="0"/>
          <w:u w:val="none"/>
        </w:rPr>
        <w:t>Snapshot Portofolio dan Konsentrasi Risiko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680"/>
          </w:tcPr>
          <w:p>
            <w:r>
              <w:t>Jumlah invoice dianalisis</w:t>
            </w:r>
          </w:p>
        </w:tc>
        <w:tc>
          <w:tcPr>
            <w:tcW w:type="dxa" w:w="4680"/>
          </w:tcPr>
          <w:p>
            <w:r>
              <w:t>49</w:t>
            </w:r>
          </w:p>
        </w:tc>
      </w:tr>
      <w:tr>
        <w:tc>
          <w:tcPr>
            <w:tcW w:type="dxa" w:w="4680"/>
          </w:tcPr>
          <w:p>
            <w:r>
              <w:t>Total nilai invoice</w:t>
            </w:r>
          </w:p>
        </w:tc>
        <w:tc>
          <w:tcPr>
            <w:tcW w:type="dxa" w:w="4680"/>
          </w:tcPr>
          <w:p>
            <w:r>
              <w:t>Rp 6.963.000.000</w:t>
            </w:r>
          </w:p>
        </w:tc>
      </w:tr>
      <w:tr>
        <w:tc>
          <w:tcPr>
            <w:tcW w:type="dxa" w:w="4680"/>
          </w:tcPr>
          <w:p>
            <w:r>
              <w:t>Porsi invoice terlambat</w:t>
            </w:r>
          </w:p>
        </w:tc>
        <w:tc>
          <w:tcPr>
            <w:tcW w:type="dxa" w:w="4680"/>
          </w:tcPr>
          <w:p>
            <w:r>
              <w:t>81,6 % (40 invoice)</w:t>
            </w:r>
          </w:p>
        </w:tc>
      </w:tr>
      <w:tr>
        <w:tc>
          <w:tcPr>
            <w:tcW w:type="dxa" w:w="4680"/>
          </w:tcPr>
          <w:p>
            <w:r>
              <w:t>Nilai invoice terlambat</w:t>
            </w:r>
          </w:p>
        </w:tc>
        <w:tc>
          <w:tcPr>
            <w:tcW w:type="dxa" w:w="4680"/>
          </w:tcPr>
          <w:p>
            <w:r>
              <w:t>Rp 5.650.000.000</w:t>
            </w:r>
          </w:p>
        </w:tc>
      </w:tr>
      <w:tr>
        <w:tc>
          <w:tcPr>
            <w:tcW w:type="dxa" w:w="4680"/>
          </w:tcPr>
          <w:p>
            <w:r>
              <w:t>Porsi invoice risiko tinggi (Kelas D/E)</w:t>
            </w:r>
          </w:p>
        </w:tc>
        <w:tc>
          <w:tcPr>
            <w:tcW w:type="dxa" w:w="4680"/>
          </w:tcPr>
          <w:p>
            <w:r>
              <w:t>22,4 % (11 invoice)</w:t>
            </w:r>
          </w:p>
        </w:tc>
      </w:tr>
      <w:tr>
        <w:tc>
          <w:tcPr>
            <w:tcW w:type="dxa" w:w="4680"/>
          </w:tcPr>
          <w:p>
            <w:r>
              <w:t>Nilai invoice risiko tinggi</w:t>
            </w:r>
          </w:p>
        </w:tc>
        <w:tc>
          <w:tcPr>
            <w:tcW w:type="dxa" w:w="4680"/>
          </w:tcPr>
          <w:p>
            <w:r>
              <w:t>Rp 1.547.000.000</w:t>
            </w:r>
          </w:p>
        </w:tc>
      </w:tr>
      <w:tr>
        <w:tc>
          <w:tcPr>
            <w:tcW w:type="dxa" w:w="4680"/>
          </w:tcPr>
          <w:p>
            <w:r>
              <w:t>Skor risiko penagihan rata‑rata</w:t>
            </w:r>
          </w:p>
        </w:tc>
        <w:tc>
          <w:tcPr>
            <w:tcW w:type="dxa" w:w="4680"/>
          </w:tcPr>
          <w:p>
            <w:r>
              <w:t>2,63 / 5,00 (lebih rendah = risiko lebih kecil)</w:t>
            </w:r>
          </w:p>
        </w:tc>
      </w:tr>
      <w:tr>
        <w:tc>
          <w:tcPr>
            <w:tcW w:type="dxa" w:w="4680"/>
          </w:tcPr>
          <w:p>
            <w:r>
              <w:t>Estimasi cash‑in risk‑adjusted (base case)</w:t>
            </w:r>
          </w:p>
        </w:tc>
        <w:tc>
          <w:tcPr>
            <w:tcW w:type="dxa" w:w="4680"/>
          </w:tcPr>
          <w:p>
            <w:r>
              <w:t>Rp 5.140.450.000 (73,8 % dari total)</w:t>
            </w:r>
          </w:p>
        </w:tc>
      </w:tr>
      <w:tr>
        <w:tc>
          <w:tcPr>
            <w:tcW w:type="dxa" w:w="4680"/>
          </w:tcPr>
          <w:p>
            <w:r>
              <w:t>Gap cash‑in (base case)</w:t>
            </w:r>
          </w:p>
        </w:tc>
        <w:tc>
          <w:tcPr>
            <w:tcW w:type="dxa" w:w="4680"/>
          </w:tcPr>
          <w:p>
            <w:r>
              <w:t>Rp 1.822.550.000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Distribusi Kelas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Kelas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% Invoice</w:t>
            </w:r>
          </w:p>
        </w:tc>
      </w:tr>
      <w:tr>
        <w:tc>
          <w:tcPr>
            <w:tcW w:type="dxa" w:w="2340"/>
          </w:tcPr>
          <w:p>
            <w:r>
              <w:t>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 1.313.000.000</w:t>
            </w:r>
          </w:p>
        </w:tc>
        <w:tc>
          <w:tcPr>
            <w:tcW w:type="dxa" w:w="2340"/>
          </w:tcPr>
          <w:p>
            <w:r>
              <w:t>18,4 %</w:t>
            </w:r>
          </w:p>
        </w:tc>
      </w:tr>
      <w:tr>
        <w:tc>
          <w:tcPr>
            <w:tcW w:type="dxa" w:w="2340"/>
          </w:tcPr>
          <w:p>
            <w:r>
              <w:t>B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Rp 1.970.000.000</w:t>
            </w:r>
          </w:p>
        </w:tc>
        <w:tc>
          <w:tcPr>
            <w:tcW w:type="dxa" w:w="2340"/>
          </w:tcPr>
          <w:p>
            <w:r>
              <w:t>30,6 %</w:t>
            </w:r>
          </w:p>
        </w:tc>
      </w:tr>
      <w:tr>
        <w:tc>
          <w:tcPr>
            <w:tcW w:type="dxa" w:w="2340"/>
          </w:tcPr>
          <w:p>
            <w:r>
              <w:t>C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Rp 2.133.000.000</w:t>
            </w:r>
          </w:p>
        </w:tc>
        <w:tc>
          <w:tcPr>
            <w:tcW w:type="dxa" w:w="2340"/>
          </w:tcPr>
          <w:p>
            <w:r>
              <w:t>28,6 %</w:t>
            </w:r>
          </w:p>
        </w:tc>
      </w:tr>
      <w:tr>
        <w:tc>
          <w:tcPr>
            <w:tcW w:type="dxa" w:w="2340"/>
          </w:tcPr>
          <w:p>
            <w:r>
              <w:t>D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Rp 987.000.000</w:t>
            </w:r>
          </w:p>
        </w:tc>
        <w:tc>
          <w:tcPr>
            <w:tcW w:type="dxa" w:w="2340"/>
          </w:tcPr>
          <w:p>
            <w:r>
              <w:t>14,3 %</w:t>
            </w:r>
          </w:p>
        </w:tc>
      </w:tr>
      <w:tr>
        <w:tc>
          <w:tcPr>
            <w:tcW w:type="dxa" w:w="2340"/>
          </w:tcPr>
          <w:p>
            <w:r>
              <w:t>E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 560.000.000</w:t>
            </w:r>
          </w:p>
        </w:tc>
        <w:tc>
          <w:tcPr>
            <w:tcW w:type="dxa" w:w="2340"/>
          </w:tcPr>
          <w:p>
            <w:r>
              <w:t>8,2 %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Grafik distribusi historis kelas pembayaran</w:t>
      </w:r>
    </w:p>
    <w:p>
      <w:pPr>
        <w:pStyle w:val="Heading3"/>
        <w:jc w:val="left"/>
      </w:pPr>
      <w:r>
        <w:rPr>
          <w:b w:val="0"/>
          <w:i w:val="0"/>
          <w:u w:val="none"/>
        </w:rPr>
        <w:t>Konsentrasi Eksposur Risiko Tinggi</w:t>
      </w:r>
    </w:p>
    <w:p>
      <w:pPr>
        <w:pStyle w:val="ListBullet"/>
        <w:jc w:val="left"/>
      </w:pPr>
      <w:r>
        <w:rPr>
          <w:b/>
          <w:i w:val="0"/>
          <w:u w:val="none"/>
        </w:rPr>
        <w:t>Swasta (Tech Startup)</w:t>
      </w:r>
      <w:r>
        <w:rPr>
          <w:b w:val="0"/>
          <w:i w:val="0"/>
          <w:u w:val="none"/>
        </w:rPr>
        <w:t>: 5 invoice (Rp 630.000.000) – skor rata‑rata 4,60.</w:t>
      </w:r>
    </w:p>
    <w:p>
      <w:pPr>
        <w:pStyle w:val="ListBullet"/>
        <w:jc w:val="left"/>
      </w:pPr>
      <w:r>
        <w:rPr>
          <w:b/>
          <w:i w:val="0"/>
          <w:u w:val="none"/>
        </w:rPr>
        <w:t>Instansi Pemerintah</w:t>
      </w:r>
      <w:r>
        <w:rPr>
          <w:b w:val="0"/>
          <w:i w:val="0"/>
          <w:u w:val="none"/>
        </w:rPr>
        <w:t>: 1 invoice (Rp 250.000.000) – skor 4,00.</w:t>
      </w:r>
    </w:p>
    <w:p>
      <w:pPr>
        <w:pStyle w:val="ListBullet"/>
        <w:jc w:val="left"/>
      </w:pPr>
      <w:r>
        <w:rPr>
          <w:b/>
          <w:i w:val="0"/>
          <w:u w:val="none"/>
        </w:rPr>
        <w:t>Universitas</w:t>
      </w:r>
      <w:r>
        <w:rPr>
          <w:b w:val="0"/>
          <w:i w:val="0"/>
          <w:u w:val="none"/>
        </w:rPr>
        <w:t>: 2 invoice (Rp 215.000.000) – skor 4,00.</w:t>
      </w:r>
    </w:p>
    <w:p>
      <w:pPr>
        <w:pStyle w:val="ListBullet"/>
        <w:jc w:val="left"/>
      </w:pPr>
      <w:r>
        <w:rPr>
          <w:b/>
          <w:i w:val="0"/>
          <w:u w:val="none"/>
        </w:rPr>
        <w:t>Swasta (Corporate)</w:t>
      </w:r>
      <w:r>
        <w:rPr>
          <w:b w:val="0"/>
          <w:i w:val="0"/>
          <w:u w:val="none"/>
        </w:rPr>
        <w:t>: 1 invoice (Rp 165.000.000) – skor 5,00.</w:t>
      </w:r>
    </w:p>
    <w:p>
      <w:pPr>
        <w:pStyle w:val="ListBullet"/>
        <w:jc w:val="left"/>
      </w:pPr>
      <w:r>
        <w:rPr>
          <w:b/>
          <w:i w:val="0"/>
          <w:u w:val="none"/>
        </w:rPr>
        <w:t>Pemerintahan Daerah</w:t>
      </w:r>
      <w:r>
        <w:rPr>
          <w:b w:val="0"/>
          <w:i w:val="0"/>
          <w:u w:val="none"/>
        </w:rPr>
        <w:t>: 1 invoice (Rp 145.000.000) – skor 4,00.</w:t>
      </w:r>
    </w:p>
    <w:p>
      <w:pPr>
        <w:pStyle w:val="Heading3"/>
        <w:jc w:val="left"/>
      </w:pPr>
      <w:r>
        <w:rPr>
          <w:b w:val="0"/>
          <w:i w:val="0"/>
          <w:u w:val="none"/>
        </w:rPr>
        <w:t>Layanan dengan Risiko Tinggi</w:t>
      </w:r>
    </w:p>
    <w:p>
      <w:pPr>
        <w:pStyle w:val="ListBullet"/>
        <w:jc w:val="left"/>
      </w:pPr>
      <w:r>
        <w:rPr>
          <w:b/>
          <w:i w:val="0"/>
          <w:u w:val="none"/>
        </w:rPr>
        <w:t>Konsultasi Deployment Local LLM</w:t>
      </w:r>
      <w:r>
        <w:rPr>
          <w:b w:val="0"/>
          <w:i w:val="0"/>
          <w:u w:val="none"/>
        </w:rPr>
        <w:t xml:space="preserve"> (Kelas E, Rp 180 jt, skor 5)</w:t>
      </w:r>
    </w:p>
    <w:p>
      <w:pPr>
        <w:pStyle w:val="ListBullet"/>
        <w:jc w:val="left"/>
      </w:pPr>
      <w:r>
        <w:rPr>
          <w:b/>
          <w:i w:val="0"/>
          <w:u w:val="none"/>
        </w:rPr>
        <w:t>Consulting Data Governance</w:t>
      </w:r>
      <w:r>
        <w:rPr>
          <w:b w:val="0"/>
          <w:i w:val="0"/>
          <w:u w:val="none"/>
        </w:rPr>
        <w:t xml:space="preserve"> (Kelas E, Rp 165 jt, skor 5)</w:t>
      </w:r>
    </w:p>
    <w:p>
      <w:pPr>
        <w:pStyle w:val="ListBullet"/>
        <w:jc w:val="left"/>
      </w:pPr>
      <w:r>
        <w:rPr>
          <w:b/>
          <w:i w:val="0"/>
          <w:u w:val="none"/>
        </w:rPr>
        <w:t>Advisory MLOps</w:t>
      </w:r>
      <w:r>
        <w:rPr>
          <w:b w:val="0"/>
          <w:i w:val="0"/>
          <w:u w:val="none"/>
        </w:rPr>
        <w:t xml:space="preserve"> (Kelas E, Rp 125 jt, skor 5)</w:t>
      </w:r>
    </w:p>
    <w:p>
      <w:pPr>
        <w:pStyle w:val="ListBullet"/>
        <w:jc w:val="left"/>
      </w:pPr>
      <w:r>
        <w:rPr>
          <w:b/>
          <w:i w:val="0"/>
          <w:u w:val="none"/>
        </w:rPr>
        <w:t>Bootcamp Data Science</w:t>
      </w:r>
      <w:r>
        <w:rPr>
          <w:b w:val="0"/>
          <w:i w:val="0"/>
          <w:u w:val="none"/>
        </w:rPr>
        <w:t xml:space="preserve"> (Kelas E, Rp 90 jt, skor 4,5)</w:t>
      </w:r>
    </w:p>
    <w:p>
      <w:pPr>
        <w:pStyle w:val="Heading3"/>
        <w:jc w:val="left"/>
      </w:pPr>
      <w:r>
        <w:rPr>
          <w:b w:val="0"/>
          <w:i w:val="0"/>
          <w:u w:val="none"/>
        </w:rPr>
        <w:t>Batasan Data dan Asumsi</w:t>
      </w:r>
    </w:p>
    <w:p>
      <w:pPr>
        <w:pStyle w:val="ListNumber"/>
        <w:jc w:val="left"/>
      </w:pPr>
      <w:r>
        <w:rPr>
          <w:b/>
          <w:i w:val="0"/>
          <w:u w:val="none"/>
        </w:rPr>
        <w:t>Cakupan data</w:t>
      </w:r>
      <w:r>
        <w:rPr>
          <w:b w:val="0"/>
          <w:i w:val="0"/>
          <w:u w:val="none"/>
        </w:rPr>
        <w:t xml:space="preserve"> – 49 invoice yang tercatat pada sistem internal hingga akhir Q3 2026; tidak termasuk invoice di luar siklus penagihan (mis. proyek yang belum faktur).</w:t>
      </w:r>
    </w:p>
    <w:p>
      <w:pPr>
        <w:pStyle w:val="ListNumber"/>
        <w:jc w:val="left"/>
      </w:pPr>
      <w:r>
        <w:rPr>
          <w:b/>
          <w:i w:val="0"/>
          <w:u w:val="none"/>
        </w:rPr>
        <w:t>Skor risiko</w:t>
      </w:r>
      <w:r>
        <w:rPr>
          <w:b w:val="0"/>
          <w:i w:val="0"/>
          <w:u w:val="none"/>
        </w:rPr>
        <w:t xml:space="preserve"> – dihitung oleh model internal yang menggabungkan faktor likuiditas, dokumen, siklus anggaran, dan dispute ruang lingkup.</w:t>
      </w:r>
    </w:p>
    <w:p>
      <w:pPr>
        <w:pStyle w:val="ListNumber"/>
        <w:jc w:val="left"/>
      </w:pPr>
      <w:r>
        <w:rPr>
          <w:b/>
          <w:i w:val="0"/>
          <w:u w:val="none"/>
        </w:rPr>
        <w:t>Estimasi cash‑in</w:t>
      </w:r>
      <w:r>
        <w:rPr>
          <w:b w:val="0"/>
          <w:i w:val="0"/>
          <w:u w:val="none"/>
        </w:rPr>
        <w:t xml:space="preserve"> – mengasumsikan bahwa semua invoice kelas A‑C akan terealisasi penuh, sementara kelas D‑E dipertimbangkan dengan faktor penurunan 30 % (berdasarkan historis).</w:t>
      </w:r>
    </w:p>
    <w:p>
      <w:pPr>
        <w:pStyle w:val="ListNumber"/>
        <w:jc w:val="left"/>
      </w:pPr>
      <w:r>
        <w:rPr>
          <w:b/>
          <w:i w:val="0"/>
          <w:u w:val="none"/>
        </w:rPr>
        <w:t>Tidak ada perubahan tarif atau penambahan layanan</w:t>
      </w:r>
      <w:r>
        <w:rPr>
          <w:b w:val="0"/>
          <w:i w:val="0"/>
          <w:u w:val="none"/>
        </w:rPr>
        <w:t xml:space="preserve"> selama horizon 2 kuartal ke depan.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Proyeksi 1‑2 Kuartal (Skenario)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Cash‑In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 5.682.560.000</w:t>
            </w:r>
          </w:p>
        </w:tc>
        <w:tc>
          <w:tcPr>
            <w:tcW w:type="dxa" w:w="2340"/>
          </w:tcPr>
          <w:p>
            <w:r>
              <w:t>Rp 1.280.440.000</w:t>
            </w:r>
          </w:p>
        </w:tc>
        <w:tc>
          <w:tcPr>
            <w:tcW w:type="dxa" w:w="2340"/>
          </w:tcPr>
          <w:p>
            <w:r>
              <w:t>Perbaikan dokumen &amp; persetujuan, serta penagihan pro‑aktif pada akun prioritas.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 5.140.450.000</w:t>
            </w:r>
          </w:p>
        </w:tc>
        <w:tc>
          <w:tcPr>
            <w:tcW w:type="dxa" w:w="2340"/>
          </w:tcPr>
          <w:p>
            <w:r>
              <w:t>Rp 1.822.550.000</w:t>
            </w:r>
          </w:p>
        </w:tc>
        <w:tc>
          <w:tcPr>
            <w:tcW w:type="dxa" w:w="2340"/>
          </w:tcPr>
          <w:p>
            <w:r>
              <w:t>Pola historis tetap; risiko kelas D/E tidak berubah signifikan.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 4.466.650.000</w:t>
            </w:r>
          </w:p>
        </w:tc>
        <w:tc>
          <w:tcPr>
            <w:tcW w:type="dxa" w:w="2340"/>
          </w:tcPr>
          <w:p>
            <w:r>
              <w:t>Rp 2.496.350.000</w:t>
            </w:r>
          </w:p>
        </w:tc>
        <w:tc>
          <w:tcPr>
            <w:tcW w:type="dxa" w:w="2340"/>
          </w:tcPr>
          <w:p>
            <w:r>
              <w:t>Penurunan likuiditas, peningkatan dispute, atau penundaan anggaran memperbesar eksposur kelas D/E.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Manajemen</w:t>
      </w:r>
    </w:p>
    <w:p>
      <w:pPr>
        <w:pStyle w:val="ListBullet"/>
        <w:jc w:val="left"/>
      </w:pPr>
      <w:r>
        <w:rPr>
          <w:b/>
          <w:i w:val="0"/>
          <w:u w:val="none"/>
        </w:rPr>
        <w:t>Cash‑in gap</w:t>
      </w:r>
      <w:r>
        <w:rPr>
          <w:b w:val="0"/>
          <w:i w:val="0"/>
          <w:u w:val="none"/>
        </w:rPr>
        <w:t xml:space="preserve"> masih &gt; Rp 1,8 miliar pada skenario base; menekan margin operasional jika tidak ditangani.</w:t>
      </w:r>
    </w:p>
    <w:p>
      <w:pPr>
        <w:pStyle w:val="ListBullet"/>
        <w:jc w:val="left"/>
      </w:pPr>
      <w:r>
        <w:rPr>
          <w:b/>
          <w:i w:val="0"/>
          <w:u w:val="none"/>
        </w:rPr>
        <w:t>Likuiditas pelanggan</w:t>
      </w:r>
      <w:r>
        <w:rPr>
          <w:b w:val="0"/>
          <w:i w:val="0"/>
          <w:u w:val="none"/>
        </w:rPr>
        <w:t xml:space="preserve"> (terutama pada startup) dan </w:t>
      </w:r>
      <w:r>
        <w:rPr>
          <w:b/>
          <w:i w:val="0"/>
          <w:u w:val="none"/>
        </w:rPr>
        <w:t>dispute ruang lingkup</w:t>
      </w:r>
      <w:r>
        <w:rPr>
          <w:b w:val="0"/>
          <w:i w:val="0"/>
          <w:u w:val="none"/>
        </w:rPr>
        <w:t xml:space="preserve"> menjadi faktor utama yang dapat menggeser realisasi ke skenario downside.</w:t>
      </w:r>
    </w:p>
    <w:p>
      <w:pPr>
        <w:pStyle w:val="ListBullet"/>
        <w:jc w:val="left"/>
      </w:pPr>
      <w:r>
        <w:rPr>
          <w:b/>
          <w:i w:val="0"/>
          <w:u w:val="none"/>
        </w:rPr>
        <w:t>Siklus anggaran pemerintah</w:t>
      </w:r>
      <w:r>
        <w:rPr>
          <w:b w:val="0"/>
          <w:i w:val="0"/>
          <w:u w:val="none"/>
        </w:rPr>
        <w:t xml:space="preserve"> berpotensi menunda pembayaran kelas D, terutama pada audit SPBE dan Bimtek AI Governance.</w:t>
      </w:r>
    </w:p>
    <w:p>
      <w:pPr>
        <w:pStyle w:val="Heading3"/>
        <w:jc w:val="left"/>
      </w:pPr>
      <w:r>
        <w:rPr>
          <w:b w:val="0"/>
          <w:i w:val="0"/>
          <w:u w:val="none"/>
        </w:rPr>
        <w:t>Tindakan Konkret (30‑hari ke depan)</w:t>
      </w:r>
    </w:p>
    <w:p>
      <w:pPr>
        <w:pStyle w:val="ListNumber"/>
        <w:jc w:val="left"/>
      </w:pPr>
      <w:r>
        <w:rPr>
          <w:b/>
          <w:i w:val="0"/>
          <w:u w:val="none"/>
        </w:rPr>
        <w:t>Negosiasi termin &amp; komitmen tertulis</w:t>
      </w:r>
      <w:r>
        <w:rPr>
          <w:b w:val="0"/>
          <w:i w:val="0"/>
          <w:u w:val="none"/>
        </w:rPr>
        <w:t xml:space="preserve"> untuk semua invoice kelas E (total Rp 560 jt).</w:t>
      </w:r>
    </w:p>
    <w:p>
      <w:pPr>
        <w:pStyle w:val="ListNumber"/>
        <w:jc w:val="left"/>
      </w:pPr>
      <w:r>
        <w:rPr>
          <w:b/>
          <w:i w:val="0"/>
          <w:u w:val="none"/>
        </w:rPr>
        <w:t>Penyelesaian dispute</w:t>
      </w:r>
      <w:r>
        <w:rPr>
          <w:b w:val="0"/>
          <w:i w:val="0"/>
          <w:u w:val="none"/>
        </w:rPr>
        <w:t xml:space="preserve"> pada Consulting Data Governance (Rp 165 jt) – tutup ruang lingkup yang diperselisihkan sebelum 15 April.</w:t>
      </w:r>
    </w:p>
    <w:p>
      <w:pPr>
        <w:pStyle w:val="ListNumber"/>
        <w:jc w:val="left"/>
      </w:pPr>
      <w:r>
        <w:rPr>
          <w:b/>
          <w:i w:val="0"/>
          <w:u w:val="none"/>
        </w:rPr>
        <w:t>Validasi anggaran</w:t>
      </w:r>
      <w:r>
        <w:rPr>
          <w:b w:val="0"/>
          <w:i w:val="0"/>
          <w:u w:val="none"/>
        </w:rPr>
        <w:t xml:space="preserve"> dengan PIC Instansi Pemerintah (Audit SPBE, Rp 250 jt) dan Pemerintahan Daerah (Bimtek, Rp 145 jt).</w:t>
      </w:r>
    </w:p>
    <w:p>
      <w:pPr>
        <w:pStyle w:val="ListNumber"/>
        <w:jc w:val="left"/>
      </w:pPr>
      <w:r>
        <w:rPr>
          <w:b/>
          <w:i w:val="0"/>
          <w:u w:val="none"/>
        </w:rPr>
        <w:t>Pengiriman dokumen pendukung</w:t>
      </w:r>
      <w:r>
        <w:rPr>
          <w:b w:val="0"/>
          <w:i w:val="0"/>
          <w:u w:val="none"/>
        </w:rPr>
        <w:t xml:space="preserve"> (PO, BAST, BA) untuk semua invoice kelas D‑E yang masih menunggu persetujuan internal klien.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Diagnostik</w:t>
      </w:r>
    </w:p>
    <w:p>
      <w:pPr>
        <w:pStyle w:val="Heading3"/>
        <w:jc w:val="left"/>
      </w:pPr>
      <w:r>
        <w:rPr>
          <w:b w:val="0"/>
          <w:i w:val="0"/>
          <w:u w:val="none"/>
        </w:rPr>
        <w:t>Bukti Internal yang Mewakili</w:t>
      </w:r>
    </w:p>
    <w:p>
      <w:pPr>
        <w:pStyle w:val="ListBullet"/>
        <w:jc w:val="left"/>
      </w:pPr>
      <w:r>
        <w:rPr>
          <w:b/>
          <w:i w:val="0"/>
          <w:u w:val="none"/>
        </w:rPr>
        <w:t>Likuiditas rendah</w:t>
      </w:r>
      <w:r>
        <w:rPr>
          <w:b w:val="0"/>
          <w:i w:val="0"/>
          <w:u w:val="none"/>
        </w:rPr>
        <w:t>: Pada invoice Advisory MLOps (Kelas E, Rp 125 jt) tercatat “klien menghentikan proyek, likuiditas sangat rendah, CFO sulit dihubungi, disarankan eskalasi legal.”</w:t>
      </w:r>
    </w:p>
    <w:p>
      <w:pPr>
        <w:pStyle w:val="ListBullet"/>
        <w:jc w:val="left"/>
      </w:pPr>
      <w:r>
        <w:rPr>
          <w:b/>
          <w:i w:val="0"/>
          <w:u w:val="none"/>
        </w:rPr>
        <w:t>Dispute ruang lingkup</w:t>
      </w:r>
      <w:r>
        <w:rPr>
          <w:b w:val="0"/>
          <w:i w:val="0"/>
          <w:u w:val="none"/>
        </w:rPr>
        <w:t>: Consulting Data Governance (Kelas E, Rp 165 jt) – “sengketa ruang lingkup, klarifikasi deliverable belum selesai, invoice ditahan procurement.”</w:t>
      </w:r>
    </w:p>
    <w:p>
      <w:pPr>
        <w:pStyle w:val="ListBullet"/>
        <w:jc w:val="left"/>
      </w:pPr>
      <w:r>
        <w:rPr>
          <w:b/>
          <w:i w:val="0"/>
          <w:u w:val="none"/>
        </w:rPr>
        <w:t>Siklus anggaran</w:t>
      </w:r>
      <w:r>
        <w:rPr>
          <w:b w:val="0"/>
          <w:i w:val="0"/>
          <w:u w:val="none"/>
        </w:rPr>
        <w:t>: Bimtek AI Governance (Kelas D, Rp 145 jt) – “perubahan APBD, backlog tanda tangan pejabat, revisi dokumen menyebabkan penundaan.”</w:t>
      </w:r>
    </w:p>
    <w:p>
      <w:pPr>
        <w:pStyle w:val="ListBullet"/>
        <w:jc w:val="left"/>
      </w:pPr>
      <w:r>
        <w:rPr>
          <w:b/>
          <w:i w:val="0"/>
          <w:u w:val="none"/>
        </w:rPr>
        <w:t>Dokumen &amp; persetujuan</w:t>
      </w:r>
      <w:r>
        <w:rPr>
          <w:b w:val="0"/>
          <w:i w:val="0"/>
          <w:u w:val="none"/>
        </w:rPr>
        <w:t>: Audit Keamanan Aplikasi (Kelas C, Rp 135 jt) – “direktur meminta revisi PO, review vendor, dokumen tambahan sebelum termin dibayar.”</w:t>
      </w:r>
    </w:p>
    <w:p>
      <w:pPr>
        <w:jc w:val="both"/>
      </w:pPr>
      <w:r>
        <w:rPr>
          <w:b w:val="0"/>
          <w:i w:val="0"/>
          <w:u w:val="none"/>
        </w:rPr>
        <w:t>Frekuensi sinyal diagnostik utama (dari catatan historis):</w:t>
        <w:br/>
        <w:t>- Dokumen &amp; administrasi – 20 kasus</w:t>
        <w:br/>
        <w:t>- Siklus anggaran – 11 kasus</w:t>
        <w:br/>
        <w:t>- Persetujuan internal klien – 9 kasus</w:t>
        <w:br/>
        <w:t>- Likuiditas pelanggan – 9 kasus</w:t>
      </w:r>
    </w:p>
    <w:p>
      <w:pPr>
        <w:pStyle w:val="Heading3"/>
        <w:jc w:val="left"/>
      </w:pPr>
      <w:r>
        <w:rPr>
          <w:b w:val="0"/>
          <w:i w:val="0"/>
          <w:u w:val="none"/>
        </w:rPr>
        <w:t>Konteks OSINT Pendukung</w:t>
      </w:r>
    </w:p>
    <w:p>
      <w:pPr>
        <w:pStyle w:val="ListBullet"/>
        <w:jc w:val="left"/>
      </w:pPr>
      <w:r>
        <w:rPr>
          <w:b/>
          <w:i w:val="0"/>
          <w:u w:val="none"/>
        </w:rPr>
        <w:t>Siklus anggaran pemerintah</w:t>
      </w:r>
      <w:r>
        <w:rPr>
          <w:b w:val="0"/>
          <w:i w:val="0"/>
          <w:u w:val="none"/>
        </w:rPr>
        <w:t xml:space="preserve"> (DJPP‑R, 2025) menegaskan bahwa pencairan dana APBN seringkali terpusat pada kuartal III/IV,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Prediktif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Dasar Proyeksi</w:t>
      </w:r>
    </w:p>
    <w:p>
      <w:pPr>
        <w:jc w:val="both"/>
      </w:pPr>
      <w:r>
        <w:rPr>
          <w:b w:val="0"/>
          <w:i w:val="0"/>
          <w:u w:val="none"/>
        </w:rPr>
        <w:t xml:space="preserve">Proyeksi cash‑in didasarkan pada 49 invoice dengan total nilai </w:t>
      </w:r>
      <w:r>
        <w:rPr>
          <w:b/>
          <w:i w:val="0"/>
          <w:u w:val="none"/>
        </w:rPr>
        <w:t>Rp 6.963.000.000</w:t>
      </w:r>
      <w:r>
        <w:rPr>
          <w:b w:val="0"/>
          <w:i w:val="0"/>
          <w:u w:val="none"/>
        </w:rPr>
        <w:t>.  Model risiko mengaplikasikan skor rata‑rata 2,56 (penurunan 0,11 poin dibanding Q2 2026) serta distribusi kelas pembayaran (A‑E) untuk menghitung probabilitas realisasi tiap invoice.  Faktor penyesuaian meliputi:</w:t>
      </w:r>
    </w:p>
    <w:p>
      <w:pPr>
        <w:pStyle w:val="ListBullet"/>
        <w:jc w:val="left"/>
      </w:pPr>
      <w:r>
        <w:rPr>
          <w:b/>
          <w:i w:val="0"/>
          <w:u w:val="none"/>
        </w:rPr>
        <w:t>Likuiditas pelanggan</w:t>
      </w:r>
      <w:r>
        <w:rPr>
          <w:b w:val="0"/>
          <w:i w:val="0"/>
          <w:u w:val="none"/>
        </w:rPr>
        <w:t xml:space="preserve"> – tercermin dari 20 catatan historis yang menyoroti kendala cash‑flow, terutama pada startup teknologi.</w:t>
      </w:r>
    </w:p>
    <w:p>
      <w:pPr>
        <w:pStyle w:val="ListBullet"/>
        <w:jc w:val="left"/>
      </w:pPr>
      <w:r>
        <w:rPr>
          <w:b/>
          <w:i w:val="0"/>
          <w:u w:val="none"/>
        </w:rPr>
        <w:t>Dispute ruang lingkup</w:t>
      </w:r>
      <w:r>
        <w:rPr>
          <w:b w:val="0"/>
          <w:i w:val="0"/>
          <w:u w:val="none"/>
        </w:rPr>
        <w:t xml:space="preserve"> – 9 catatan menunjukkan sengketa deliverable (mis. invoice Rp 165 jt pada Consulting Data Governance).</w:t>
      </w:r>
    </w:p>
    <w:p>
      <w:pPr>
        <w:pStyle w:val="ListBullet"/>
        <w:jc w:val="left"/>
      </w:pPr>
      <w:r>
        <w:rPr>
          <w:b/>
          <w:i w:val="0"/>
          <w:u w:val="none"/>
        </w:rPr>
        <w:t>Siklus anggaran</w:t>
      </w:r>
      <w:r>
        <w:rPr>
          <w:b w:val="0"/>
          <w:i w:val="0"/>
          <w:u w:val="none"/>
        </w:rPr>
        <w:t xml:space="preserve"> – 11 catatan menandakan penundaan karena proses APBD atau persetujuan internal BUMN.</w:t>
      </w:r>
    </w:p>
    <w:p>
      <w:pPr>
        <w:jc w:val="both"/>
      </w:pPr>
      <w:r>
        <w:rPr>
          <w:b w:val="0"/>
          <w:i w:val="0"/>
          <w:u w:val="none"/>
        </w:rPr>
        <w:t>Model mengasumsikan bahwa pola historis tetap (base case) dan bahwa tindakan mitigasi dapat menggeser 30 % invoice kelas D/E ke kelas C atau B dalam horizon 2 kuartal.</w:t>
      </w:r>
    </w:p>
    <w:p>
      <w:pPr>
        <w:pStyle w:val="Heading3"/>
        <w:jc w:val="left"/>
      </w:pPr>
      <w:r>
        <w:rPr>
          <w:b w:val="0"/>
          <w:i w:val="0"/>
          <w:u w:val="none"/>
        </w:rPr>
        <w:t>Skenario 1‑2 Kuartal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Cash‑In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 5.682.560.000</w:t>
            </w:r>
          </w:p>
        </w:tc>
        <w:tc>
          <w:tcPr>
            <w:tcW w:type="dxa" w:w="2340"/>
          </w:tcPr>
          <w:p>
            <w:r>
              <w:t>Rp 1.280.440.000</w:t>
            </w:r>
          </w:p>
        </w:tc>
        <w:tc>
          <w:tcPr>
            <w:tcW w:type="dxa" w:w="2340"/>
          </w:tcPr>
          <w:p>
            <w:r>
              <w:t>Semua aksi percepatan (negosiasi termin, eskalasi legal, verifikasi anggaran) berhasil dalam 30 hari, mengurangi invoice kelas E + D sebesar 30 % dan mempercepat pembayaran pada 12 invoice kritis.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 5.140.450.000</w:t>
            </w:r>
          </w:p>
        </w:tc>
        <w:tc>
          <w:tcPr>
            <w:tcW w:type="dxa" w:w="2340"/>
          </w:tcPr>
          <w:p>
            <w:r>
              <w:t>Rp 1.822.550.000</w:t>
            </w:r>
          </w:p>
        </w:tc>
        <w:tc>
          <w:tcPr>
            <w:tcW w:type="dxa" w:w="2340"/>
          </w:tcPr>
          <w:p>
            <w:r>
              <w:t>Pola historis berlanjut; hanya 10 % invoice kelas E ditangani, sehingga cash‑in tetap pada level risiko‑adjusted yang diproyeksikan.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 4.466.650.000</w:t>
            </w:r>
          </w:p>
        </w:tc>
        <w:tc>
          <w:tcPr>
            <w:tcW w:type="dxa" w:w="2340"/>
          </w:tcPr>
          <w:p>
            <w:r>
              <w:t>Rp 2.496.350.000</w:t>
            </w:r>
          </w:p>
        </w:tc>
        <w:tc>
          <w:tcPr>
            <w:tcW w:type="dxa" w:w="2340"/>
          </w:tcPr>
          <w:p>
            <w:r>
              <w:t>Penurunan likuiditas dan peningkatan dispute menyebabkan 20 % tambahan invoice berpindah ke kelas E, menurunkan realisasi cash‑in secara signifikan.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terhadap Rencana Kas</w:t>
      </w:r>
    </w:p>
    <w:p>
      <w:pPr>
        <w:pStyle w:val="ListBullet"/>
        <w:jc w:val="left"/>
      </w:pPr>
      <w:r>
        <w:rPr>
          <w:b/>
          <w:i w:val="0"/>
          <w:u w:val="none"/>
        </w:rPr>
        <w:t>Cash‑in gap</w:t>
      </w:r>
      <w:r>
        <w:rPr>
          <w:b w:val="0"/>
          <w:i w:val="0"/>
          <w:u w:val="none"/>
        </w:rPr>
        <w:t xml:space="preserve"> pada base case (</w:t>
      </w:r>
      <w:r>
        <w:rPr>
          <w:b/>
          <w:i w:val="0"/>
          <w:u w:val="none"/>
        </w:rPr>
        <w:t>Rp 1.822,5 jt</w:t>
      </w:r>
      <w:r>
        <w:rPr>
          <w:b w:val="0"/>
          <w:i w:val="0"/>
          <w:u w:val="none"/>
        </w:rPr>
        <w:t>) masih melebihi toleransi operasional (maks 15 % dari total invoice).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 xml:space="preserve">Pada skenario upside, gap turun menjadi </w:t>
      </w:r>
      <w:r>
        <w:rPr>
          <w:b/>
          <w:i w:val="0"/>
          <w:u w:val="none"/>
        </w:rPr>
        <w:t>22 %</w:t>
      </w:r>
      <w:r>
        <w:rPr>
          <w:b w:val="0"/>
          <w:i w:val="0"/>
          <w:u w:val="none"/>
        </w:rPr>
        <w:t>, memungkinkan pencapaian target likuiditas Q4 2026 tanpa tambahan pinjaman.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 xml:space="preserve">Skenario downside menuntut </w:t>
      </w:r>
      <w:r>
        <w:rPr>
          <w:b/>
          <w:i w:val="0"/>
          <w:u w:val="none"/>
        </w:rPr>
        <w:t>penyusunan contingency fund</w:t>
      </w:r>
      <w:r>
        <w:rPr>
          <w:b w:val="0"/>
          <w:i w:val="0"/>
          <w:u w:val="none"/>
        </w:rPr>
        <w:t xml:space="preserve"> sebesar </w:t>
      </w:r>
      <w:r>
        <w:rPr>
          <w:b/>
          <w:i w:val="0"/>
          <w:u w:val="none"/>
        </w:rPr>
        <w:t>Rp 300 jt</w:t>
      </w:r>
      <w:r>
        <w:rPr>
          <w:b w:val="0"/>
          <w:i w:val="0"/>
          <w:u w:val="none"/>
        </w:rPr>
        <w:t xml:space="preserve"> dan revisi proyeksi OPEX untuk menghindari tekanan cash‑flow.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Rekomendasi Preskriptif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Prinsip Tindakan</w:t>
      </w:r>
    </w:p>
    <w:p>
      <w:pPr>
        <w:pStyle w:val="ListNumber"/>
        <w:jc w:val="left"/>
      </w:pPr>
      <w:r>
        <w:rPr>
          <w:b/>
          <w:i w:val="0"/>
          <w:u w:val="none"/>
        </w:rPr>
        <w:t>Prioritas pada risiko likuiditas</w:t>
      </w:r>
      <w:r>
        <w:rPr>
          <w:b w:val="0"/>
          <w:i w:val="0"/>
          <w:u w:val="none"/>
        </w:rPr>
        <w:t xml:space="preserve"> – fokus pada 5 invoice kelas E dengan nilai &gt; Rp 100 jt (mis. Startup Tech, Consulting Data Governance).</w:t>
      </w:r>
    </w:p>
    <w:p>
      <w:pPr>
        <w:pStyle w:val="ListNumber"/>
        <w:jc w:val="left"/>
      </w:pPr>
      <w:r>
        <w:rPr>
          <w:b/>
          <w:i w:val="0"/>
          <w:u w:val="none"/>
        </w:rPr>
        <w:t>Resolusi dispute ruang lingkup</w:t>
      </w:r>
      <w:r>
        <w:rPr>
          <w:b w:val="0"/>
          <w:i w:val="0"/>
          <w:u w:val="none"/>
        </w:rPr>
        <w:t xml:space="preserve"> – selesaikan semua sengketa yang tercatat sebelum akhir Q3 2026, dengan dokumentasi keputusan bersama.</w:t>
      </w:r>
    </w:p>
    <w:p>
      <w:pPr>
        <w:pStyle w:val="ListNumber"/>
        <w:jc w:val="left"/>
      </w:pPr>
      <w:r>
        <w:rPr>
          <w:b/>
          <w:i w:val="0"/>
          <w:u w:val="none"/>
        </w:rPr>
        <w:t>Sinkronisasi siklus anggaran</w:t>
      </w:r>
      <w:r>
        <w:rPr>
          <w:b w:val="0"/>
          <w:i w:val="0"/>
          <w:u w:val="none"/>
        </w:rPr>
        <w:t xml:space="preserve"> – aktifkan monitoring anggaran klien pemerintah melalui liaison officer untuk mengantisipasi perubahan APBD.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Prasyarat Implementasi</w:t>
      </w:r>
    </w:p>
    <w:p>
      <w:pPr>
        <w:pStyle w:val="ListBullet"/>
        <w:jc w:val="left"/>
      </w:pPr>
      <w:r>
        <w:rPr>
          <w:b/>
          <w:i w:val="0"/>
          <w:u w:val="none"/>
        </w:rPr>
        <w:t>Data akurat</w:t>
      </w:r>
      <w:r>
        <w:rPr>
          <w:b w:val="0"/>
          <w:i w:val="0"/>
          <w:u w:val="none"/>
        </w:rPr>
        <w:t xml:space="preserve"> – verifikasi status pembayaran harian melalui sistem ERP; pastikan semua catatan dokumen, persetujuan, dan cash‑flow klien ter‑update.</w:t>
      </w:r>
    </w:p>
    <w:p>
      <w:pPr>
        <w:pStyle w:val="ListBullet"/>
        <w:jc w:val="left"/>
      </w:pPr>
      <w:r>
        <w:rPr>
          <w:b/>
          <w:i w:val="0"/>
          <w:u w:val="none"/>
        </w:rPr>
        <w:t>Kepemilikan jelas</w:t>
      </w:r>
      <w:r>
        <w:rPr>
          <w:b w:val="0"/>
          <w:i w:val="0"/>
          <w:u w:val="none"/>
        </w:rPr>
        <w:t xml:space="preserve"> – Finance Manager menandatangani RACI untuk tiap akun kritis; Account Manager bertanggung jawab atas komunikasi klien.</w:t>
      </w:r>
    </w:p>
    <w:p>
      <w:pPr>
        <w:pStyle w:val="ListBullet"/>
        <w:jc w:val="left"/>
      </w:pPr>
      <w:r>
        <w:rPr>
          <w:b/>
          <w:i w:val="0"/>
          <w:u w:val="none"/>
        </w:rPr>
        <w:t>Dukungan legal</w:t>
      </w:r>
      <w:r>
        <w:rPr>
          <w:b w:val="0"/>
          <w:i w:val="0"/>
          <w:u w:val="none"/>
        </w:rPr>
        <w:t xml:space="preserve"> – tim Legal menyiapkan template eskalasi dan perjanjian termin pembayaran yang dapat di‑deploy dalam 48 jam.</w:t>
      </w:r>
    </w:p>
    <w:p>
      <w:pPr>
        <w:pStyle w:val="Heading3"/>
        <w:jc w:val="left"/>
      </w:pPr>
      <w:r>
        <w:rPr>
          <w:b w:val="0"/>
          <w:i w:val="0"/>
          <w:u w:val="none"/>
        </w:rPr>
        <w:t>Kesiapan Pelaksanaan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Penilaian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3120"/>
          </w:tcPr>
          <w:p>
            <w:r>
              <w:t>People / Ownership</w:t>
            </w:r>
          </w:p>
        </w:tc>
        <w:tc>
          <w:tcPr>
            <w:tcW w:type="dxa" w:w="3120"/>
          </w:tcPr>
          <w:p>
            <w:r>
              <w:t>3/5</w:t>
            </w:r>
          </w:p>
        </w:tc>
        <w:tc>
          <w:tcPr>
            <w:tcW w:type="dxa" w:w="3120"/>
          </w:tcPr>
          <w:p>
            <w:r>
              <w:t>Finance Manager &amp; Account Manager sudah teridentifikasi; perlu pelatihan singkat tentang negosiasi termin.</w:t>
            </w:r>
          </w:p>
        </w:tc>
      </w:tr>
      <w:tr>
        <w:tc>
          <w:tcPr>
            <w:tcW w:type="dxa" w:w="3120"/>
          </w:tcPr>
          <w:p>
            <w:r>
              <w:t>Proses / SOP</w:t>
            </w:r>
          </w:p>
        </w:tc>
        <w:tc>
          <w:tcPr>
            <w:tcW w:type="dxa" w:w="3120"/>
          </w:tcPr>
          <w:p>
            <w:r>
              <w:t>4/5</w:t>
            </w:r>
          </w:p>
        </w:tc>
        <w:tc>
          <w:tcPr>
            <w:tcW w:type="dxa" w:w="3120"/>
          </w:tcPr>
          <w:p>
            <w:r>
              <w:t>SOP collection ada, namun belum ter‑integrasi dengan modul monitoring anggaran.</w:t>
            </w:r>
          </w:p>
        </w:tc>
      </w:tr>
      <w:tr>
        <w:tc>
          <w:tcPr>
            <w:tcW w:type="dxa" w:w="3120"/>
          </w:tcPr>
          <w:p>
            <w:r>
              <w:t>Teknologi</w:t>
            </w:r>
          </w:p>
        </w:tc>
        <w:tc>
          <w:tcPr>
            <w:tcW w:type="dxa" w:w="3120"/>
          </w:tcPr>
          <w:p>
            <w:r>
              <w:t>4/5</w:t>
            </w:r>
          </w:p>
        </w:tc>
        <w:tc>
          <w:tcPr>
            <w:tcW w:type="dxa" w:w="3120"/>
          </w:tcPr>
          <w:p>
            <w:r>
              <w:t>Sistem ERP dapat men‑generate reminder otomatis; butuh konfigurasi tambahan untuk flag risiko tinggi.</w:t>
            </w:r>
          </w:p>
        </w:tc>
      </w:tr>
      <w:tr>
        <w:tc>
          <w:tcPr>
            <w:tcW w:type="dxa" w:w="3120"/>
          </w:tcPr>
          <w:p>
            <w:r>
              <w:t>Governance</w:t>
            </w:r>
          </w:p>
        </w:tc>
        <w:tc>
          <w:tcPr>
            <w:tcW w:type="dxa" w:w="3120"/>
          </w:tcPr>
          <w:p>
            <w:r>
              <w:t>3/5</w:t>
            </w:r>
          </w:p>
        </w:tc>
        <w:tc>
          <w:tcPr>
            <w:tcW w:type="dxa" w:w="3120"/>
          </w:tcPr>
          <w:p>
            <w:r>
              <w:t>Mekanisme eskalasi manajemen sudah ada, namun belum ada KPI khusus untuk penyelesaian dispute.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Prioritas Tindakan 30 Hari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Fokus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Isu Utama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Aksi 30 Hari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Dampak yang Diharapkan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Swasta (Tech Startup) – Advisory MLOps (Kelas E, Rp 125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rendah, komunikasi terhambat</w:t>
            </w:r>
          </w:p>
        </w:tc>
        <w:tc>
          <w:tcPr>
            <w:tcW w:type="dxa" w:w="1560"/>
          </w:tcPr>
          <w:p>
            <w:r>
              <w:t>Negosiasikan termin 30 hari, kirimkan surat komitmen tertulis, dan siapkan notifikasi legal bila tidak terpenuhi</w:t>
            </w:r>
          </w:p>
        </w:tc>
        <w:tc>
          <w:tcPr>
            <w:tcW w:type="dxa" w:w="1560"/>
          </w:tcPr>
          <w:p>
            <w:r>
              <w:t>Potensi percepatan cash‑in Rp 80 jt, mengurangi gap cash‑in 4 %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Swasta (Tech Startup) – Konsultasi Deployment Local LLM (Kelas E, Rp 180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sangat rendah, risiko legal</w:t>
            </w:r>
          </w:p>
        </w:tc>
        <w:tc>
          <w:tcPr>
            <w:tcW w:type="dxa" w:w="1560"/>
          </w:tcPr>
          <w:p>
            <w:r>
              <w:t>Buat skema pembayaran bertahap (30 % upfront, 70 % setelah milestone), libatkan Legal untuk draft perjanjian</w:t>
            </w:r>
          </w:p>
        </w:tc>
        <w:tc>
          <w:tcPr>
            <w:tcW w:type="dxa" w:w="1560"/>
          </w:tcPr>
          <w:p>
            <w:r>
              <w:t>Realisasi Rp 120 jt dalam 30 hari, mengurangi eksposur risiko tinggi 6 %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Swasta (Corporate) – Consulting Data Governance (Kelas E, Rp 165 jt)</w:t>
            </w:r>
          </w:p>
        </w:tc>
        <w:tc>
          <w:tcPr>
            <w:tcW w:type="dxa" w:w="1560"/>
          </w:tcPr>
          <w:p>
            <w:r>
              <w:t>Project Lead + Finance Manager</w:t>
            </w:r>
          </w:p>
        </w:tc>
        <w:tc>
          <w:tcPr>
            <w:tcW w:type="dxa" w:w="1560"/>
          </w:tcPr>
          <w:p>
            <w:r>
              <w:t>Dispute ruang lingkup, dokumen belum final</w:t>
            </w:r>
          </w:p>
        </w:tc>
        <w:tc>
          <w:tcPr>
            <w:tcW w:type="dxa" w:w="1560"/>
          </w:tcPr>
          <w:p>
            <w:r>
              <w:t>Selenggarakan workshop penyelesaian dispute 2 hari, finalisasi BAST, kirimkan invoice final</w:t>
            </w:r>
          </w:p>
        </w:tc>
        <w:tc>
          <w:tcPr>
            <w:tcW w:type="dxa" w:w="1560"/>
          </w:tcPr>
          <w:p>
            <w:r>
              <w:t>Penyelesaian dispute, cash‑in diperkirakan Rp 140 jt dalam 30 hari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Instansi Pemerintah – Audit SPBE (Kelas D, Rp 250 jt)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Hubungi PIC anggaran, dapatkan konfirmasi jadwal pencairan, siapkan eskalasi ke unit pengadaan</w:t>
            </w:r>
          </w:p>
        </w:tc>
        <w:tc>
          <w:tcPr>
            <w:tcW w:type="dxa" w:w="1560"/>
          </w:tcPr>
          <w:p>
            <w:r>
              <w:t>Mempercepat pencairan 50 % (Rp 125 jt) sebelum akhir Q3 2026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Pemerintahan Daerah – Bimtek AI Governance (Kelas D, Rp 145 jt)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 &amp; revisi dokumen</w:t>
            </w:r>
          </w:p>
        </w:tc>
        <w:tc>
          <w:tcPr>
            <w:tcW w:type="dxa" w:w="1560"/>
          </w:tcPr>
          <w:p>
            <w:r>
              <w:t>Verifikasi status APBD, minta tanda tangan digital, kirim reminder harian</w:t>
            </w:r>
          </w:p>
        </w:tc>
        <w:tc>
          <w:tcPr>
            <w:tcW w:type="dxa" w:w="1560"/>
          </w:tcPr>
          <w:p>
            <w:r>
              <w:t>Cash‑in tambahan Rp 80 jt dalam 30 hari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Semua invoice Kelas C‑B dengan skor risiko ≤ 3,0</w:t>
            </w:r>
          </w:p>
        </w:tc>
        <w:tc>
          <w:tcPr>
            <w:tcW w:type="dxa" w:w="1560"/>
          </w:tcPr>
          <w:p>
            <w:r>
              <w:t>Finance Manager</w:t>
            </w:r>
          </w:p>
        </w:tc>
        <w:tc>
          <w:tcPr>
            <w:tcW w:type="dxa" w:w="1560"/>
          </w:tcPr>
          <w:p>
            <w:r>
              <w:t>Dokumentasi belum lengkap</w:t>
            </w:r>
          </w:p>
        </w:tc>
        <w:tc>
          <w:tcPr>
            <w:tcW w:type="dxa" w:w="1560"/>
          </w:tcPr>
          <w:p>
            <w:r>
              <w:t>Audit dokumen pendukung, kirim reminder otomatis via ERP, update status di dashboard</w:t>
            </w:r>
          </w:p>
        </w:tc>
        <w:tc>
          <w:tcPr>
            <w:tcW w:type="dxa" w:w="1560"/>
          </w:tcPr>
          <w:p>
            <w:r>
              <w:t>Mengurangi invoice “tertunda ringan” sebesar 15 % dan meningkatkan cash‑in bulanan Rp 200 jt</w:t>
            </w:r>
          </w:p>
        </w:tc>
      </w:tr>
    </w:tbl>
    <w:p>
      <w:pPr>
        <w:jc w:val="both"/>
      </w:pPr>
      <w:r>
        <w:rPr>
          <w:b w:val="0"/>
          <w:i/>
          <w:u w:val="none"/>
        </w:rPr>
        <w:t>Catatan:</w:t>
      </w:r>
      <w:r>
        <w:rPr>
          <w:b w:val="0"/>
          <w:i w:val="0"/>
          <w:u w:val="none"/>
        </w:rPr>
        <w:t xml:space="preserve"> Semua aksi di atas diukur dengan KPI </w:t>
      </w:r>
      <w:r>
        <w:rPr>
          <w:b/>
          <w:i w:val="0"/>
          <w:u w:val="none"/>
        </w:rPr>
        <w:t>Realized Cash‑In vs. Target</w:t>
      </w:r>
      <w:r>
        <w:rPr>
          <w:b w:val="0"/>
          <w:i w:val="0"/>
          <w:u w:val="none"/>
        </w:rPr>
        <w:t xml:space="preserve"> dan </w:t>
      </w:r>
      <w:r>
        <w:rPr>
          <w:b/>
          <w:i w:val="0"/>
          <w:u w:val="none"/>
        </w:rPr>
        <w:t>Days Sales Outstanding (DSO)</w:t>
      </w:r>
      <w:r>
        <w:rPr>
          <w:b w:val="0"/>
          <w:i w:val="0"/>
          <w:u w:val="none"/>
        </w:rPr>
        <w:t xml:space="preserve"> yang harus turun minimal </w:t>
      </w:r>
      <w:r>
        <w:rPr>
          <w:b/>
          <w:i w:val="0"/>
          <w:u w:val="none"/>
        </w:rPr>
        <w:t>5 hari</w:t>
      </w:r>
      <w:r>
        <w:rPr>
          <w:b w:val="0"/>
          <w:i w:val="0"/>
          <w:u w:val="none"/>
        </w:rPr>
        <w:t xml:space="preserve"> dalam periode 30 hari.</w:t>
      </w:r>
    </w:p>
    <w:p>
      <w:pPr>
        <w:jc w:val="both"/>
      </w:pPr>
      <w:r>
        <w:rPr>
          <w:b w:val="0"/>
          <w:i/>
          <w:u w:val="none"/>
        </w:rPr>
        <w:t>Prepared by: CFO &amp; Lead Financial Data Scientist – Inixindo Jogja</w:t>
      </w:r>
      <w:r>
        <w:rPr>
          <w:b w:val="0"/>
          <w:i w:val="0"/>
          <w:u w:val="none"/>
        </w:rPr>
        <w:br/>
      </w:r>
      <w:r>
        <w:rPr>
          <w:b w:val="0"/>
          <w:i/>
          <w:u w:val="none"/>
        </w:rPr>
        <w:t>Date: 30 Maret 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E6E"/>
        <w:sz w:val="18"/>
      </w:rPr>
    </w:r>
    <w:r>
      <w:rPr>
        <w:rFonts w:ascii="Calibri" w:hAnsi="Calibri"/>
        <w:color w:val="6E6E6E"/>
        <w:sz w:val="18"/>
      </w:rPr>
      <w:t xml:space="preserve">STRICTLY CONFIDENTIAL | Page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PAGE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  <w:r>
      <w:rPr>
        <w:rFonts w:ascii="Calibri" w:hAnsi="Calibri"/>
        <w:color w:val="6E6E6E"/>
        <w:sz w:val="18"/>
      </w:rPr>
      <w:t xml:space="preserve"> of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NUMPAGES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787878"/>
        <w:sz w:val="16"/>
      </w:rPr>
    </w:r>
    <w:r>
      <w:rPr>
        <w:rFonts w:ascii="Calibri" w:hAnsi="Calibri"/>
        <w:color w:val="787878"/>
        <w:sz w:val="16"/>
      </w:rPr>
      <w:t>INIXINDO JOGJA | INTERNAL FINANCE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C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Inixindo Cash In Intelligence Report</dc:title>
  <dc:subject>Internal Cash In Intelligence Report</dc:subject>
  <dc:creator>Inixindo Jogja - Finance &amp; Revenue Optimization Division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Finance</cp:category>
</cp:coreProperties>
</file>