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before="0" w:line="480"/>
        <w:jc w:val="center"/>
      </w:pPr>
      <w:r>
        <w:t xml:space="preserve">Results</w:t>
      </w:r>
    </w:p>
    <w:p>
      <w:pPr>
        <w:pStyle w:val="Heading2"/>
        <w:spacing w:after="0" w:before="0" w:line="480"/>
      </w:pPr>
      <w:r>
        <w:t xml:space="preserve">Sample Characteristics</w:t>
      </w:r>
    </w:p>
    <w:p>
      <w:pPr>
        <w:spacing w:after="0" w:before="0" w:line="480"/>
        <w:ind w:firstLine="720"/>
      </w:pPr>
      <w:r>
        <w:t xml:space="preserve">Table 2 compares the demographic profile of the 4,796 respondents with national benchmarks from the 2024 CPS ASEC. The sample closely tracks the U.S. adult population on gender (54.2% female vs. 51.2%), race (78.3% White vs. 76.6%), educational attainment (37.5% with a college degree vs. 35.8%), and the presence of children in the household (69.0% with no children under 18 vs. 68.2%). Three departures are relevant for interpreting the preference estimates. First, the sample skews toward lower-income households: 37.8% report a household income below $50,000, compared with 24.1% nationally, while only 9.2% report $150,000 or more, compared with 29.4%. Second, respondents are more likely to live in single-adult households (26.0% vs. 16.9%) and to be without a partner (48.8% vs. 40.8%). Third, adults aged 65 to 79 are over-represented (24.3% vs. 17.8%), whereas those aged 18 to 24 (8.3% vs. 11.5%) and 80 or older (2.0% vs. 5.0%) are under-represented. As the latent class results show, household income and having a partner both predict membership in the segment with the highest willingness to pay (WTP). The income and partnership gaps therefore suggest that, if anything, the sample understates the population prevalence of high-WTP consumers.</w:t>
      </w:r>
    </w:p>
    <w:p>
      <w:pPr>
        <w:pStyle w:val="Heading2"/>
        <w:spacing w:after="0" w:before="0" w:line="480"/>
      </w:pPr>
      <w:r>
        <w:t xml:space="preserve">Average Preferences and Preference Heterogeneity</w:t>
      </w:r>
    </w:p>
    <w:p>
      <w:pPr>
        <w:spacing w:after="0" w:before="0" w:line="480"/>
        <w:ind w:firstLine="720"/>
      </w:pPr>
      <w:r>
        <w:t xml:space="preserve">Table 3 presents the mixed logit estimates. Mean coefficients measure utility relative to the omitted level of each attribute (Table 1), and mean WTP equals the negative ratio of each coefficient to the fixed price coefficient (−1.09). Unless otherwise stated, WTP figures are expressed in dollars per 10-oz pack and refer to the non-intrusive description of the temperature-tolerance technologies.</w:t>
      </w:r>
    </w:p>
    <w:p>
      <w:pPr>
        <w:spacing w:after="0" w:before="0" w:line="480"/>
        <w:ind w:firstLine="720"/>
      </w:pPr>
      <w:r>
        <w:rPr>
          <w:b/>
          <w:bCs/>
        </w:rPr>
        <w:t xml:space="preserve">Carbon reduction.</w:t>
      </w:r>
      <w:r>
        <w:t xml:space="preserve"> All three carbon-reduction levels increase utility (</w:t>
      </w:r>
      <w:r>
        <w:rPr>
          <w:i/>
          <w:iCs/>
        </w:rPr>
        <w:t xml:space="preserve">p</w:t>
      </w:r>
      <w:r>
        <w:t xml:space="preserve"> &lt; 0.01), with mean WTP of $0.56, $0.79, and $0.87 for 10%, 20%, and 30% reductions, equivalent to 26%, 36%, and 40% of the $2.19 baseline price. Carbon claims are also the least contested attributes in the experiment: the estimated distributions imply that 96% of respondents value a 10% reduction positively and that virtually all respondents value the 20% and 30% reductions positively. Valuation, however, is strongly concave in the size of the reduction. The first 10 percentage points account for 64% of the utility of a 30% reduction; moving from 10% to 20% adds $0.23 in WTP, and moving from 20% to 30% adds only $0.08. Respondents rewarded the presence of a carbon-reduction claim considerably more than its magnitude.</w:t>
      </w:r>
    </w:p>
    <w:p>
      <w:pPr>
        <w:spacing w:after="0" w:before="0" w:line="480"/>
        <w:ind w:firstLine="720"/>
      </w:pPr>
      <w:r>
        <w:rPr>
          <w:b/>
          <w:bCs/>
        </w:rPr>
        <w:t xml:space="preserve">Production technologies.</w:t>
      </w:r>
      <w:r>
        <w:t xml:space="preserve"> Among the energy-efficiency technologies, bioenergy (WTP = $0.47) and seasonal production ($0.35) are valued positively (</w:t>
      </w:r>
      <w:r>
        <w:rPr>
          <w:i/>
          <w:iCs/>
        </w:rPr>
        <w:t xml:space="preserve">p</w:t>
      </w:r>
      <w:r>
        <w:t xml:space="preserve"> &lt; 0.01), whereas the mean effect of AI-based energy efficiency is indistinguishable from zero ($0.04). Among the temperature-tolerance technologies, beneficial microorganisms carry a positive premium ($0.28, </w:t>
      </w:r>
      <w:r>
        <w:rPr>
          <w:i/>
          <w:iCs/>
        </w:rPr>
        <w:t xml:space="preserve">p</w:t>
      </w:r>
      <w:r>
        <w:t xml:space="preserve"> &lt; 0.01), conventional plant breeding is valued at zero, and GMO technology carries a discount (−$0.23, </w:t>
      </w:r>
      <w:r>
        <w:rPr>
          <w:i/>
          <w:iCs/>
        </w:rPr>
        <w:t xml:space="preserve">p</w:t>
      </w:r>
      <w:r>
        <w:t xml:space="preserve"> &lt; 0.01). Irrigation with pathogen-free wastewater is the most highly valued non-carbon attribute ($0.61, </w:t>
      </w:r>
      <w:r>
        <w:rPr>
          <w:i/>
          <w:iCs/>
        </w:rPr>
        <w:t xml:space="preserve">p</w:t>
      </w:r>
      <w:r>
        <w:t xml:space="preserve"> &lt; 0.01), while organic certification commands a small average premium ($0.12, </w:t>
      </w:r>
      <w:r>
        <w:rPr>
          <w:i/>
          <w:iCs/>
        </w:rPr>
        <w:t xml:space="preserve">p</w:t>
      </w:r>
      <w:r>
        <w:t xml:space="preserve"> &lt; 0.01).</w:t>
      </w:r>
    </w:p>
    <w:p>
      <w:pPr>
        <w:spacing w:after="0" w:before="0" w:line="480"/>
        <w:ind w:firstLine="720"/>
      </w:pPr>
      <w:r>
        <w:rPr>
          <w:b/>
          <w:bCs/>
        </w:rPr>
        <w:t xml:space="preserve">Consensus versus contested attributes.</w:t>
      </w:r>
      <w:r>
        <w:t xml:space="preserve"> The standard deviation estimates reveal a sharp divide between two groups of attributes. For carbon reduction, bioenergy, and seasonal production, mean effects are large relative to their dispersion, implying that between 82% and 100% of respondents value them positively. For organic certification, AI-based energy efficiency, GMO technology, and pathogen-free wastewater, the standard deviation exceeds the absolute mean, by a factor ranging from two (pathogen-free wastewater) to more than twenty (AI-based energy efficiency). The implied shares of respondents with positive preferences are only 53% for organic certification, 52% for AI-based energy efficiency, 40% for GMO technology, and 69% for pathogen-free wastewater. The near-zero mean coefficients for AI and organic certification therefore do not indicate indifference. They reflect populations divided almost evenly between consumers who value these attributes and consumers who penalize them (</w:t>
      </w:r>
      <w:r>
        <w:rPr>
          <w:i/>
          <w:iCs/>
        </w:rPr>
        <w:t xml:space="preserve">SD</w:t>
      </w:r>
      <w:r>
        <w:t xml:space="preserve"> = 0.92 and 1.51, respectively; </w:t>
      </w:r>
      <w:r>
        <w:rPr>
          <w:i/>
          <w:iCs/>
        </w:rPr>
        <w:t xml:space="preserve">p</w:t>
      </w:r>
      <w:r>
        <w:t xml:space="preserve"> &lt; 0.01). Plant breeding is the only attribute for which neither the mean nor the standard deviation is significant, which is consistent with genuine, widely shared indifference. The large negative opt-out constant (−5.58) indicates a strong general inclination to purchase cherry tomatoes, while its standard deviation (2.29) points to considerable variation in attachment to the category.</w:t>
      </w:r>
    </w:p>
    <w:p>
      <w:pPr>
        <w:spacing w:after="0" w:before="0" w:line="480"/>
        <w:ind w:firstLine="720"/>
      </w:pPr>
      <w:r>
        <w:rPr>
          <w:b/>
          <w:bCs/>
        </w:rPr>
        <w:t xml:space="preserve">Intrusive wording.</w:t>
      </w:r>
      <w:r>
        <w:t xml:space="preserve"> Describing the temperature-tolerance technologies in intrusive terms had no effect on the valuation of plant breeding (0.08, n.s.) but reduced the utility of beneficial microorganisms by 0.24 and that of GMO technology by 0.72 (both </w:t>
      </w:r>
      <w:r>
        <w:rPr>
          <w:i/>
          <w:iCs/>
        </w:rPr>
        <w:t xml:space="preserve">p</w:t>
      </w:r>
      <w:r>
        <w:t xml:space="preserve"> &lt; 0.01). The penalty thus rises with the degree to which a technology intervenes in the plant itself. The consequences are substantial. Under intrusive wording, the net coefficient for beneficial microorganisms falls from 0.30 to 0.06, eliminating 80% of the premium, while the net GMO coefficient falls from −0.25 to −0.97, nearly quadrupling the discount (WTP falls from −$0.23 to −$0.89). The significant standard deviation of the GMO × intrusive wording interaction (1.11, </w:t>
      </w:r>
      <w:r>
        <w:rPr>
          <w:i/>
          <w:iCs/>
        </w:rPr>
        <w:t xml:space="preserve">p</w:t>
      </w:r>
      <w:r>
        <w:t xml:space="preserve"> &lt; 0.01) indicates that sensitivity to this description varies considerably across respondents.</w:t>
      </w:r>
    </w:p>
    <w:p>
      <w:pPr>
        <w:spacing w:after="0" w:before="0" w:line="480"/>
        <w:ind w:firstLine="720"/>
      </w:pPr>
      <w:r>
        <w:rPr>
          <w:b/>
          <w:bCs/>
        </w:rPr>
        <w:t xml:space="preserve">Benefit messages.</w:t>
      </w:r>
      <w:r>
        <w:t xml:space="preserve"> The benefit messages enter the model through the opt-out constant, so a positive coefficient indicates that a message made not buying more attractive relative to respondents who received no message. None of the three messages increased participation. The personal-benefit (0.25) and combined-benefit (0.24) messages have positive coefficients that are significant at the 10% level, and the social-benefit coefficient (0.17) is insignificant. At the sample level, the messages therefore had no detectable positive effect on purchase likelihood and, if anything, slightly reduced it. As the latent class results show, this weak average conceals strong and opposing responses across consumer segments.</w:t>
      </w:r>
    </w:p>
    <w:p>
      <w:pPr>
        <w:pStyle w:val="Heading2"/>
        <w:spacing w:after="0" w:before="0" w:line="480"/>
      </w:pPr>
      <w:r>
        <w:t xml:space="preserve">Consumer Segments</w:t>
      </w:r>
    </w:p>
    <w:p>
      <w:pPr>
        <w:spacing w:after="0" w:before="0" w:line="480"/>
        <w:ind w:firstLine="720"/>
      </w:pPr>
      <w:r>
        <w:t xml:space="preserve">Table 4 reports the five-class latent class model, and Table 5 converts the class-specific coefficients into WTP estimates. </w:t>
      </w:r>
      <w:r>
        <w:rPr>
          <w:highlight w:val="yellow"/>
          <w:highlightCs w:val="yellow"/>
        </w:rPr>
        <w:t xml:space="preserve">Insert the model-selection criteria (e.g., BIC, CAIC) used to choose the five-class solution, or refer to the Methods/Appendix.</w:t>
      </w:r>
      <w:r>
        <w:t xml:space="preserve"> Two features of the results stand out before we turn to individual classes. First, price sensitivity varies 13.5-fold across classes, from −0.26 (Class 1) to −3.51 (Class 5), a source of heterogeneity that the mixed logit specification held constant by design. Second, segments differ not only in how much they value the attributes but also in the sign of their valuation for most production technologies. We label each class according to its dominant preference pattern; Table 8 summarizes the profiles. To express the opt-out constants in monetary terms, we also compute each class’s implied reservation price for the conventional baseline pack, defined as the price at which buying it and not buying yield equal utility (−ASC/β</w:t>
      </w:r>
      <w:r>
        <w:rPr>
          <w:vertAlign w:val="subscript"/>
        </w:rPr>
        <w:t xml:space="preserve">price</w:t>
      </w:r>
      <w:r>
        <w:t xml:space="preserve">).</w:t>
      </w:r>
    </w:p>
    <w:p>
      <w:pPr>
        <w:spacing w:after="0" w:before="0" w:line="480"/>
        <w:ind w:firstLine="720"/>
      </w:pPr>
      <w:r>
        <w:rPr>
          <w:b/>
          <w:bCs/>
        </w:rPr>
        <w:t xml:space="preserve">Class 1: Product-focused pragmatists (34.9%).</w:t>
      </w:r>
      <w:r>
        <w:t xml:space="preserve"> The largest class values attributes that act on the tomato and its growing inputs: GMO technology (0.47), pathogen-free wastewater (0.47), organic certification (0.29), and beneficial microorganisms (0.19; all </w:t>
      </w:r>
      <w:r>
        <w:rPr>
          <w:i/>
          <w:iCs/>
        </w:rPr>
        <w:t xml:space="preserve">p</w:t>
      </w:r>
      <w:r>
        <w:t xml:space="preserve"> &lt; 0.01). It is the only class that values GMO technology positively (WTP = $1.81). By contrast, the class is indifferent to seasonal production and bioenergy and penalizes AI-based energy efficiency (−0.38, </w:t>
      </w:r>
      <w:r>
        <w:rPr>
          <w:i/>
          <w:iCs/>
        </w:rPr>
        <w:t xml:space="preserve">p</w:t>
      </w:r>
      <w:r>
        <w:t xml:space="preserve"> &lt; 0.01; WTP = −$1.47). Its carbon valuation is modest and non-monotonic: 10% and 20% reductions are valued (0.23 and 0.33), but a 30% reduction is not (0.06, n.s.). Class 1 is the least price-sensitive segment (−0.26), with an implied reservation price of $11.62 for the conventional pack. Intrusive wording reduces its GMO valuation (−0.25, </w:t>
      </w:r>
      <w:r>
        <w:rPr>
          <w:i/>
          <w:iCs/>
        </w:rPr>
        <w:t xml:space="preserve">p</w:t>
      </w:r>
      <w:r>
        <w:t xml:space="preserve"> &lt; 0.01), but net GMO utility remains positive (0.22). Relative to Class 5, members are younger, more likely to hold a college degree, and more likely to be White.</w:t>
      </w:r>
    </w:p>
    <w:p>
      <w:pPr>
        <w:spacing w:after="0" w:before="0" w:line="480"/>
        <w:ind w:firstLine="720"/>
      </w:pPr>
      <w:r>
        <w:rPr>
          <w:b/>
          <w:bCs/>
        </w:rPr>
        <w:t xml:space="preserve">Class 2: Energy-minded traditionalists (10.6%).</w:t>
      </w:r>
      <w:r>
        <w:t xml:space="preserve"> Class 2’s preferences are close to a mirror image of those in Class 1. It rejects every plant-level attribute that Class 1 values, namely beneficial microorganisms (−0.43), GMO technology (−0.70), pathogen-free wastewater (−0.22), and organic certification (−0.48), while valuing all three energy-efficiency technologies that Class 1 ignores or penalizes: bioenergy (0.66), seasonal production (0.32), and AI-based energy efficiency (0.32). None of the carbon-reduction levels is significant. In effect, this segment welcomes changes to how the greenhouse is powered but not to how the tomato is grown. It is price-sensitive (−1.82), so its WTP estimates are modest (e.g., $0.37 for bioenergy), and its implied reservation price for the conventional pack is $3.10. Members are older than those in Class 5 and somewhat more likely to be White and to have no children (both </w:t>
      </w:r>
      <w:r>
        <w:rPr>
          <w:i/>
          <w:iCs/>
        </w:rPr>
        <w:t xml:space="preserve">p</w:t>
      </w:r>
      <w:r>
        <w:t xml:space="preserve"> &lt; 0.10).</w:t>
      </w:r>
    </w:p>
    <w:p>
      <w:pPr>
        <w:spacing w:after="0" w:before="0" w:line="480"/>
        <w:ind w:firstLine="720"/>
      </w:pPr>
      <w:r>
        <w:rPr>
          <w:b/>
          <w:bCs/>
        </w:rPr>
        <w:t xml:space="preserve">Class 3: Climate enthusiasts (27.9%).</w:t>
      </w:r>
      <w:r>
        <w:t xml:space="preserve"> Class 3 places high value on carbon reduction (1.28, 1.70, and 2.78 for 10%, 20%, and 30%; all </w:t>
      </w:r>
      <w:r>
        <w:rPr>
          <w:i/>
          <w:iCs/>
        </w:rPr>
        <w:t xml:space="preserve">p</w:t>
      </w:r>
      <w:r>
        <w:t xml:space="preserve"> &lt; 0.01) and is the only class whose valuation rises most steeply at the highest level: the step from 20% to 30% (1.08) is more than twice the step from 10% to 20% (0.42). It also places high value on all three energy technologies, including the largest AI coefficient of any class (1.41), and values organic certification (0.65), pathogen-free wastewater (0.63), and, weakly, beneficial microorganisms (0.25, </w:t>
      </w:r>
      <w:r>
        <w:rPr>
          <w:i/>
          <w:iCs/>
        </w:rPr>
        <w:t xml:space="preserve">p</w:t>
      </w:r>
      <w:r>
        <w:t xml:space="preserve"> &lt; 0.10). The class rejects GMO technology (−0.94, </w:t>
      </w:r>
      <w:r>
        <w:rPr>
          <w:i/>
          <w:iCs/>
        </w:rPr>
        <w:t xml:space="preserve">p</w:t>
      </w:r>
      <w:r>
        <w:t xml:space="preserve"> &lt; 0.01) and, weakly, plant breeding (−0.32, </w:t>
      </w:r>
      <w:r>
        <w:rPr>
          <w:i/>
          <w:iCs/>
        </w:rPr>
        <w:t xml:space="preserve">p</w:t>
      </w:r>
      <w:r>
        <w:t xml:space="preserve"> &lt; 0.10). Because its price sensitivity is low (−0.33), the implied WTP values are large: $8.34 for a 30% carbon reduction, $4.24 for AI-based energy efficiency, and $3.85 for bioenergy. These values exceed the price range used in the experiment and have wide confidence intervals (e.g., $1.68 to $14.99 for a 30% reduction), so they are best read as evidence that price imposes little constraint on this segment rather than as literal price premiums. Compared with Class 5, members are younger, more likely to have a partner, have higher household incomes, and are somewhat more likely to have children (</w:t>
      </w:r>
      <w:r>
        <w:rPr>
          <w:i/>
          <w:iCs/>
        </w:rPr>
        <w:t xml:space="preserve">p</w:t>
      </w:r>
      <w:r>
        <w:t xml:space="preserve"> &lt; 0.10).</w:t>
      </w:r>
    </w:p>
    <w:p>
      <w:pPr>
        <w:spacing w:after="0" w:before="0" w:line="480"/>
        <w:ind w:firstLine="720"/>
      </w:pPr>
      <w:r>
        <w:rPr>
          <w:b/>
          <w:bCs/>
        </w:rPr>
        <w:t xml:space="preserve">Class 4: Conditional safety seekers (10.7%).</w:t>
      </w:r>
      <w:r>
        <w:t xml:space="preserve"> Class 4 is defined by its valuation of pathogen-free wastewater (2.18, </w:t>
      </w:r>
      <w:r>
        <w:rPr>
          <w:i/>
          <w:iCs/>
        </w:rPr>
        <w:t xml:space="preserve">p</w:t>
      </w:r>
      <w:r>
        <w:t xml:space="preserve"> &lt; 0.01), the largest positive coefficient on any non-carbon attribute in the model. Its WTP for this attribute, $2.19, equals the full baseline price. The class also values seasonal production (0.89), beneficial microorganisms (0.63), a 20% carbon reduction (0.84), and organic certification (0.30), while rejecting the two most technologically sophisticated options, AI-based energy efficiency (−0.59) and GMO technology (−0.39). Two further features set this segment apart. First, its opt-out constant is the smallest in magnitude (−1.35), implying a reservation price for the conventional pack of only $1.35, below the lowest price tested. At any experimental price, members of this class are more likely to walk away than to buy a conventional cherry tomato; they enter the market mainly when a product carries attributes they value. Second, Class 4 is the segment most sensitive to how technologies are described: intrusive wording lowers its valuation of GMO technology (−0.99) and beneficial microorganisms (−0.38) and raises its valuation of plant breeding (0.35, </w:t>
      </w:r>
      <w:r>
        <w:rPr>
          <w:i/>
          <w:iCs/>
        </w:rPr>
        <w:t xml:space="preserve">p</w:t>
      </w:r>
      <w:r>
        <w:t xml:space="preserve"> &lt; 0.05). Compared with Class 5, members are more likely to be female, partnered, White, and older.</w:t>
      </w:r>
    </w:p>
    <w:p>
      <w:pPr>
        <w:spacing w:after="0" w:before="0" w:line="480"/>
        <w:ind w:firstLine="720"/>
      </w:pPr>
      <w:r>
        <w:rPr>
          <w:b/>
          <w:bCs/>
        </w:rPr>
        <w:t xml:space="preserve">Class 5: Price-constrained climate supporters (15.8%).</w:t>
      </w:r>
      <w:r>
        <w:t xml:space="preserve"> Class 5 places strong value on carbon reduction (1.62, 1.93, and 2.28) and on energy-efficiency technologies (seasonal production 1.23, bioenergy 0.81, and AI 0.61; all </w:t>
      </w:r>
      <w:r>
        <w:rPr>
          <w:i/>
          <w:iCs/>
        </w:rPr>
        <w:t xml:space="preserve">p</w:t>
      </w:r>
      <w:r>
        <w:t xml:space="preserve"> &lt; 0.01). It rejects all three temperature-tolerance technologies (beneficial microorganisms at </w:t>
      </w:r>
      <w:r>
        <w:rPr>
          <w:i/>
          <w:iCs/>
        </w:rPr>
        <w:t xml:space="preserve">p</w:t>
      </w:r>
      <w:r>
        <w:t xml:space="preserve"> &lt; 0.10), including the strongest GMO aversion in the sample (−1.86), and penalizes organic certification (−1.17), while being indifferent to pathogen-free wastewater. The defining feature of this class is its price sensitivity (−3.51), which is 13.5 times that of Class 1. As a result, although its carbon coefficients are among the largest in the model (the largest at the 10% and 20% levels), its WTP for a 30% reduction is only $0.65. The very large opt-out constant (−13.19) indicates that these consumers rarely leave the category; they buy cherry tomatoes and choose mainly on price. Intrusive wording does not significantly change their GMO valuation (−0.24, n.s.), consistent with a floor effect among consumers who are already strongly opposed. Because Class 5 is the reference class, its profile emerges by contrast: its members are more likely than those in Classes 1 and 4 to be non-White, less likely than those in Classes 3 and 4 to have a partner, and have lower incomes than members of Class 3.</w:t>
      </w:r>
    </w:p>
    <w:p>
      <w:pPr>
        <w:spacing w:after="0" w:before="0" w:line="480"/>
        <w:ind w:firstLine="720"/>
      </w:pPr>
      <w:r>
        <w:rPr>
          <w:b/>
          <w:bCs/>
        </w:rPr>
        <w:t xml:space="preserve">Segment responses to benefit messages.</w:t>
      </w:r>
      <w:r>
        <w:t xml:space="preserve"> The class-specific message effects (Table 4, Panel A) explain the weak averages in the mixed logit. Personal-benefit messages never significantly increased participation, and they significantly increased the likelihood of opting out in Classes 2 (0.72), 3 (0.77), and 5 (0.59). Social-benefit messages produced the largest message effects in the model, but in opposite directions: they sharply reduced opting out in Class 2 (−3.14, </w:t>
      </w:r>
      <w:r>
        <w:rPr>
          <w:i/>
          <w:iCs/>
        </w:rPr>
        <w:t xml:space="preserve">p</w:t>
      </w:r>
      <w:r>
        <w:t xml:space="preserve"> &lt; 0.01) and sharply increased it in Class 5 (4.71, </w:t>
      </w:r>
      <w:r>
        <w:rPr>
          <w:i/>
          <w:iCs/>
        </w:rPr>
        <w:t xml:space="preserve">p</w:t>
      </w:r>
      <w:r>
        <w:t xml:space="preserve"> &lt; 0.01). The combined message increased opting out in Classes 1 (0.35) and 2 (0.88). For Class 2, therefore, adding a personal benefit to the social benefit reversed the effect of the social message. Class 4 did not respond to any message. Expressed in dollars, the social message raised Class 2’s reservation price for the conventional pack by $1.73 (from $3.10 to $4.83) and lowered Class 5’s by $1.34 (from $3.76 to $2.42), while the personal message lowered Class 3’s by $2.33. In the pooled data, these opposing responses largely cancel, producing the insignificant social-message coefficient in Table 3.</w:t>
      </w:r>
    </w:p>
    <w:p>
      <w:pPr>
        <w:spacing w:after="0" w:before="0" w:line="480"/>
        <w:ind w:firstLine="720"/>
      </w:pPr>
      <w:r>
        <w:rPr>
          <w:b/>
          <w:bCs/>
        </w:rPr>
        <w:t xml:space="preserve">Intrusive wording across segments.</w:t>
      </w:r>
      <w:r>
        <w:t xml:space="preserve"> Panel B of Table 5 shows that the GMO wording penalty is significant in four of the five classes, ranging from $0.42 (Class 2) to $2.22 (Class 3) per pack, and is absent only in Class 5, which already strongly rejects GMO technology. The wording effects on beneficial microorganisms (−$0.38) and plant breeding (+$0.36) are significant only in Class 4.</w:t>
      </w:r>
    </w:p>
    <w:p>
      <w:pPr>
        <w:spacing w:after="0" w:before="0" w:line="480"/>
        <w:ind w:firstLine="720"/>
      </w:pPr>
      <w:r>
        <w:rPr>
          <w:b/>
          <w:bCs/>
        </w:rPr>
        <w:t xml:space="preserve">Why a single average WTP misleads.</w:t>
      </w:r>
      <w:r>
        <w:t xml:space="preserve"> The segment results also show why a single summary of WTP can be misleading in this market. Weighting the class-specific WTP estimates by class shares yields a mean WTP of $2.60 for a 30% carbon reduction, three times the mixed logit estimate ($0.87). Class 3 alone contributes 90% of that weighted mean, whereas the respondent at the median of the class-level WTP distribution belongs to Class 4, whose WTP is $0.42. The same pattern holds for most attributes; for example, Class 3 accounts for 85% of the weighted mean WTP for bioenergy. The average is dominated by one price-insensitive segment and describes few actual consumers.</w:t>
      </w:r>
    </w:p>
    <w:p>
      <w:pPr>
        <w:pStyle w:val="Heading2"/>
        <w:spacing w:after="0" w:before="0" w:line="480"/>
      </w:pPr>
      <w:r>
        <w:t xml:space="preserve">Market Simulations</w:t>
      </w:r>
    </w:p>
    <w:p>
      <w:pPr>
        <w:spacing w:after="0" w:before="0" w:line="480"/>
        <w:ind w:firstLine="720"/>
      </w:pPr>
      <w:r>
        <w:t xml:space="preserve">Table 6 reports simulated market shares when a conventional baseline pack (Product A: no carbon claim, no temperature-tolerance or energy-efficiency technology, city water, and no organic certification) priced at $2.19 is offered alongside one of six climate-smart products (Product B), each designed around the preferences of a segment. The simulations weight the class-specific choice probabilities implied by Table 4 by the class shares and assume the no-message condition and non-intrusive wording.</w:t>
      </w:r>
    </w:p>
    <w:p>
      <w:pPr>
        <w:spacing w:after="0" w:before="0" w:line="480"/>
        <w:ind w:firstLine="720"/>
      </w:pPr>
      <w:r>
        <w:rPr>
          <w:b/>
          <w:bCs/>
        </w:rPr>
        <w:t xml:space="preserve">Shares at price parity.</w:t>
      </w:r>
      <w:r>
        <w:t xml:space="preserve"> When both products cost $2.19, every climate-smart profile outsells the conventional pack, capturing between 58.5% (B2) and 80.8% (B4) of choices. The Class 4–aligned product (B4) performs best overall and has the lowest opt-out share (2.2%), even though Class 4 represents only 10.7% of the sample. B4 combines attributes that most segments value (a moderate carbon claim, seasonal production, beneficial microorganisms, pathogen-free wastewater, and organic certification) and avoids the two most polarizing technologies, AI and GMO.</w:t>
      </w:r>
    </w:p>
    <w:p>
      <w:pPr>
        <w:spacing w:after="0" w:before="0" w:line="480"/>
        <w:ind w:firstLine="720"/>
      </w:pPr>
      <w:r>
        <w:rPr>
          <w:b/>
          <w:bCs/>
        </w:rPr>
        <w:t xml:space="preserve">Response to price premiums.</w:t>
      </w:r>
      <w:r>
        <w:t xml:space="preserve"> Raising B’s price from $2.19 to $4.19, a 91% premium, reduces its share by between one-quarter and one-half. B1a and B4 retain about three-quarters of their parity share (74.7% and 73.3%), B3 and B1b about two-thirds (67.0% and 65.9%), and B5 and B2 only about half (57.4% and 51.8%). The implied arc price elasticities range from −0.46 (B1a) to −1.01 (B2). Three products (B1a, B3, and B4) outsell the conventional pack at every price tested, whereas B2 falls behind it at about $2.80, B5 at about $3.78, and B1b at about $4.06. For B1a, B1b, B3, and B4, a revenue index (price × share) rises across the entire price range, by 43% for B1a and 40% for B4, which suggests that their revenue-maximizing premiums lie at or beyond the top of the tested range. For B2 the index is essentially flat, and for B5 it peaks between $2.69 and $3.19. Most of the share that B loses as its price rises (78% to 91%) shifts to the conventional pack rather than to the opt-out. The GMO-containing B1b sends the largest fraction to the opt-out (22%), and B4 the smallest (9%).</w:t>
      </w:r>
    </w:p>
    <w:p>
      <w:pPr>
        <w:spacing w:after="0" w:before="0" w:line="480"/>
        <w:ind w:firstLine="720"/>
      </w:pPr>
      <w:r>
        <w:rPr>
          <w:b/>
          <w:bCs/>
        </w:rPr>
        <w:t xml:space="preserve">Three design comparisons.</w:t>
      </w:r>
      <w:r>
        <w:t xml:space="preserve"> Comparing profiles that differ in only one or two attributes isolates three design lessons. First, adding attributes does not guarantee higher demand. B3 adds AI-based energy efficiency to B1a and raises the carbon claim from 20% to 30%, yet its parity share is identical (74.8%), and at $4.19 it trails B1a by 5.8 points (50.1% vs. 55.9%), with a higher opt-out share (7.3% vs. 5.6%). Second, the right addition does help: B4 adds seasonal production to B1a and gains 6.0 points at parity and 3.3 points at $4.19. Third, GMO technology is costly even under neutral wording. B1b, which substitutes GMO technology for beneficial microorganisms and organic certification, captures 7.5 fewer points than B1a at parity and 11.6 fewer at $4.19, and its opt-out share is nearly twice as high at every price.</w:t>
      </w:r>
    </w:p>
    <w:p>
      <w:pPr>
        <w:spacing w:after="0" w:before="0" w:line="480"/>
        <w:ind w:firstLine="720"/>
      </w:pPr>
      <w:r>
        <w:rPr>
          <w:b/>
          <w:bCs/>
        </w:rPr>
        <w:t xml:space="preserve">Who buys at a premium?</w:t>
      </w:r>
      <w:r>
        <w:t xml:space="preserve"> Table 7 decomposes the simulated choices by segment and accounts for these patterns. Three results stand out. First, a premium effectively closes the market to Classes 2 and 5. At $4.19, members of these classes choose Product B with a probability of 4.1% or less, whatever its attributes, and nearly all switch to the conventional pack. This holds even for the products designed for them: B2 and B5 capture 61.9% of Class 2 and 97.1% of Class 5, respectively, at parity, but only 4.1% and 2.9% at $4.19. Premium-priced climate-smart tomatoes are therefore bought almost entirely by Classes 1, 3, and 4, which together account for 73.5% of the sample. Second, this explains why adding attributes failed in B3. At parity, AI and the higher carbon claim raise B’s choice probability in Class 5 (+20.9 points), Class 2 (+10.8), and Class 3 (+4.5, where it is already 95.1%), but lower it in Class 1 (−13.4) and Class 4 (−8.9), leaving the aggregate unchanged. At $4.19, the gains in Classes 2 and 5 all but vanish (less than 1 point each) because these consumers have already switched to the conventional pack, while the losses in Classes 1 and 4 persist and grow (−15.6 and −24.3 points). Attributes that appeal mainly to price-sensitive segments cannot support a price premium. Third, the GMO profile gains nothing in its target segment: Class 1 chooses B1b and B1a at virtually identical rates (76.6% and 76.8% at parity), while B1b loses 19.4 points in Class 3 and 13.3 points in Class 4. At $4.19, 44.6% of Class 4 opts out when B1b is offered, compared with 22.4% when B1a is offered.</w:t>
      </w:r>
    </w:p>
    <w:p>
      <w:pPr>
        <w:keepNext/>
        <w:spacing w:after="120" w:before="240" w:line="240"/>
      </w:pPr>
      <w:r>
        <w:rPr>
          <w:rFonts w:ascii="Times New Roman" w:cs="Times New Roman" w:eastAsia="Times New Roman" w:hAnsi="Times New Roman"/>
          <w:b/>
          <w:bCs/>
        </w:rPr>
        <w:t xml:space="preserve">Table 7. Simulated Probability of Choosing Product B, by Segment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840"/>
        <w:gridCol w:w="1000"/>
        <w:gridCol w:w="1000"/>
        <w:gridCol w:w="1000"/>
        <w:gridCol w:w="1000"/>
        <w:gridCol w:w="1000"/>
        <w:gridCol w:w="1000"/>
      </w:tblGrid>
      <w:tr>
        <w:trPr>
          <w:tblHeader/>
        </w:trPr>
        <w:tc>
          <w:tcPr>
            <w:tcW w:type="dxa" w:w="252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20"/>
                <w:szCs w:val="20"/>
              </w:rPr>
              <w:t xml:space="preserve">Product B profile</w:t>
            </w:r>
          </w:p>
        </w:tc>
        <w:tc>
          <w:tcPr>
            <w:tcW w:type="dxa" w:w="84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sz w:val="20"/>
                <w:szCs w:val="20"/>
              </w:rPr>
              <w:t xml:space="preserve">B price</w:t>
            </w:r>
          </w:p>
          <w:p>
            <w:pPr>
              <w:spacing w:after="20" w:before="20" w:line="240"/>
              <w:jc w:val="center"/>
            </w:pPr>
            <w:r>
              <w:rPr>
                <w:rFonts w:ascii="Times New Roman" w:cs="Times New Roman" w:eastAsia="Times New Roman" w:hAnsi="Times New Roman"/>
                <w:b/>
                <w:bCs/>
                <w:sz w:val="20"/>
                <w:szCs w:val="20"/>
              </w:rPr>
              <w:t xml:space="preserve">($)</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sz w:val="20"/>
                <w:szCs w:val="20"/>
              </w:rPr>
              <w:t xml:space="preserve">Class 1</w:t>
            </w:r>
          </w:p>
          <w:p>
            <w:pPr>
              <w:spacing w:after="20" w:before="20" w:line="240"/>
              <w:jc w:val="center"/>
            </w:pPr>
            <w:r>
              <w:rPr>
                <w:rFonts w:ascii="Times New Roman" w:cs="Times New Roman" w:eastAsia="Times New Roman" w:hAnsi="Times New Roman"/>
                <w:b/>
                <w:bCs/>
                <w:sz w:val="20"/>
                <w:szCs w:val="20"/>
              </w:rPr>
              <w:t xml:space="preserve">(34.9%)</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sz w:val="20"/>
                <w:szCs w:val="20"/>
              </w:rPr>
              <w:t xml:space="preserve">Class 2</w:t>
            </w:r>
          </w:p>
          <w:p>
            <w:pPr>
              <w:spacing w:after="20" w:before="20" w:line="240"/>
              <w:jc w:val="center"/>
            </w:pPr>
            <w:r>
              <w:rPr>
                <w:rFonts w:ascii="Times New Roman" w:cs="Times New Roman" w:eastAsia="Times New Roman" w:hAnsi="Times New Roman"/>
                <w:b/>
                <w:bCs/>
                <w:sz w:val="20"/>
                <w:szCs w:val="20"/>
              </w:rPr>
              <w:t xml:space="preserve">(10.6%)</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sz w:val="20"/>
                <w:szCs w:val="20"/>
              </w:rPr>
              <w:t xml:space="preserve">Class 3</w:t>
            </w:r>
          </w:p>
          <w:p>
            <w:pPr>
              <w:spacing w:after="20" w:before="20" w:line="240"/>
              <w:jc w:val="center"/>
            </w:pPr>
            <w:r>
              <w:rPr>
                <w:rFonts w:ascii="Times New Roman" w:cs="Times New Roman" w:eastAsia="Times New Roman" w:hAnsi="Times New Roman"/>
                <w:b/>
                <w:bCs/>
                <w:sz w:val="20"/>
                <w:szCs w:val="20"/>
              </w:rPr>
              <w:t xml:space="preserve">(27.9%)</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sz w:val="20"/>
                <w:szCs w:val="20"/>
              </w:rPr>
              <w:t xml:space="preserve">Class 4</w:t>
            </w:r>
          </w:p>
          <w:p>
            <w:pPr>
              <w:spacing w:after="20" w:before="20" w:line="240"/>
              <w:jc w:val="center"/>
            </w:pPr>
            <w:r>
              <w:rPr>
                <w:rFonts w:ascii="Times New Roman" w:cs="Times New Roman" w:eastAsia="Times New Roman" w:hAnsi="Times New Roman"/>
                <w:b/>
                <w:bCs/>
                <w:sz w:val="20"/>
                <w:szCs w:val="20"/>
              </w:rPr>
              <w:t xml:space="preserve">(10.7%)</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sz w:val="20"/>
                <w:szCs w:val="20"/>
              </w:rPr>
              <w:t xml:space="preserve">Class 5</w:t>
            </w:r>
          </w:p>
          <w:p>
            <w:pPr>
              <w:spacing w:after="20" w:before="20" w:line="240"/>
              <w:jc w:val="center"/>
            </w:pPr>
            <w:r>
              <w:rPr>
                <w:rFonts w:ascii="Times New Roman" w:cs="Times New Roman" w:eastAsia="Times New Roman" w:hAnsi="Times New Roman"/>
                <w:b/>
                <w:bCs/>
                <w:sz w:val="20"/>
                <w:szCs w:val="20"/>
              </w:rPr>
              <w:t xml:space="preserve">(15.8%)</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bCs/>
                <w:sz w:val="20"/>
                <w:szCs w:val="20"/>
              </w:rPr>
              <w:t xml:space="preserve">Sample</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20"/>
                <w:szCs w:val="20"/>
              </w:rPr>
              <w:t xml:space="preserve">B1a: Class 1-aligned</w:t>
            </w: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95.1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94.0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56.1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74.8</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66.3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55.9</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20"/>
                <w:szCs w:val="20"/>
              </w:rPr>
              <w:t xml:space="preserve">B1b: Class 1-aligned with GMO</w:t>
            </w: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76.6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27.8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80.7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48.9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67.3</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66.1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36.1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44.3</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20"/>
                <w:szCs w:val="20"/>
              </w:rPr>
              <w:t xml:space="preserve">B2: Class 2-aligned</w:t>
            </w: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29.3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58.5</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36.8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59.0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30.3</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20"/>
                <w:szCs w:val="20"/>
              </w:rPr>
              <w:t xml:space="preserve">B3: Class 3-aligned</w:t>
            </w: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63.4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34.6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99.6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85.1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74.8</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99.2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50.1</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20"/>
                <w:szCs w:val="20"/>
              </w:rPr>
              <w:t xml:space="preserve">B4: Class 4-aligned</w:t>
            </w: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77.5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30.0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97.7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97.4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81.4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80.8</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83.8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59.2</w:t>
            </w:r>
          </w:p>
        </w:tc>
      </w:tr>
      <w:tr>
        <w:trPr>
          <w:cantSplit/>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20"/>
                <w:szCs w:val="20"/>
              </w:rPr>
              <w:t xml:space="preserve">B5: Class 5-aligned</w:t>
            </w:r>
          </w:p>
        </w:tc>
        <w:tc>
          <w:tcPr>
            <w:tcW w:type="dxa" w:w="8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62.1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96.5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52.8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72.1</w:t>
            </w:r>
          </w:p>
        </w:tc>
      </w:tr>
      <w:tr>
        <w:trPr>
          <w:cantSplit/>
        </w:trPr>
        <w:tc>
          <w:tcPr>
            <w:tcW w:type="dxa" w:w="252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p>
        </w:tc>
        <w:tc>
          <w:tcPr>
            <w:tcW w:type="dxa" w:w="84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4.19</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37.7</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93.4</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13.1</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2.9</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center"/>
            </w:pPr>
            <w:r>
              <w:rPr>
                <w:rFonts w:ascii="Times New Roman" w:cs="Times New Roman" w:eastAsia="Times New Roman" w:hAnsi="Times New Roman"/>
                <w:b w:val="false"/>
                <w:bCs w:val="false"/>
                <w:sz w:val="20"/>
                <w:szCs w:val="20"/>
              </w:rPr>
              <w:t xml:space="preserve">41.4</w:t>
            </w:r>
          </w:p>
        </w:tc>
      </w:tr>
    </w:tbl>
    <w:p>
      <w:pPr>
        <w:spacing w:after="240" w:before="80" w:line="240"/>
      </w:pPr>
      <w:r>
        <w:rPr>
          <w:rFonts w:ascii="Times New Roman" w:cs="Times New Roman" w:eastAsia="Times New Roman" w:hAnsi="Times New Roman"/>
          <w:sz w:val="18"/>
          <w:szCs w:val="18"/>
        </w:rPr>
        <w:t xml:space="preserve">Notes: Authors’ calculations from the latent class estimates in Table 4. Product A (conventional baseline) is priced at $2.19; profiles are as defined in Table 6. Calculations assume the no-message condition and non-intrusive wording. Sample shares are from Table 6; the class-share-weighted average of the class-specific probabilities reproduces Table 6 to within 0.2 percentage points.</w:t>
      </w:r>
    </w:p>
    <w:p>
      <w:pPr>
        <w:spacing w:after="0" w:before="0" w:line="480"/>
        <w:ind w:firstLine="720"/>
      </w:pPr>
      <w:r>
        <w:rPr>
          <w:b/>
          <w:bCs/>
        </w:rPr>
        <w:t xml:space="preserve">Market expansion.</w:t>
      </w:r>
      <w:r>
        <w:t xml:space="preserve"> Climate-smart products do more than redistribute existing demand. If the conventional pack were the only product offered at $2.19, about 70% of Class 4 would not buy, and 18.3% of the full sample would opt out. Offering B4 at parity reduces the opt-out rate in Class 4 to 1.8%. To separate this effect from the mechanical effect of adding a second product to the choice set, we compare a market with two identical conventional packs, in which 11.7% of respondents opt out, with a market in which the second product is B4. In the latter, the opt-out share falls to 2.2% at parity and remains only 4.1% when B4 is priced at $4.19.</w:t>
      </w:r>
    </w:p>
    <w:p>
      <w:pPr>
        <w:spacing w:after="0" w:before="0" w:line="480"/>
        <w:ind w:firstLine="720"/>
      </w:pPr>
      <w:r>
        <w:rPr>
          <w:b/>
          <w:bCs/>
        </w:rPr>
        <w:t xml:space="preserve">Simulated message effects.</w:t>
      </w:r>
      <w:r>
        <w:t xml:space="preserve"> Because the benefit messages operate on the opt-out alternative, they do not change the relative attractiveness of Products A and B, but they can affect participation in the category. Repeating the simulations under each message condition, with B priced at $2.19, $3.19, and $4.19, shows that the messages raised the opt-out share in 53 of 54 scenarios (six profiles × three prices × three messages); at $3.19 and $4.19, the increases range from 1.2 to 4.2 percentage points. In no scenario did B’s share rise by more than 0.3 points. As designed, none of the three messages would have increased demand for a climate-smart product.</w:t>
      </w:r>
    </w:p>
    <w:p>
      <w:pPr>
        <w:pStyle w:val="Heading1"/>
        <w:spacing w:after="0" w:before="0" w:line="480"/>
        <w:jc w:val="center"/>
      </w:pPr>
      <w:r>
        <w:t xml:space="preserve">Discussion</w:t>
      </w:r>
    </w:p>
    <w:p>
      <w:pPr>
        <w:spacing w:after="0" w:before="0" w:line="480"/>
        <w:ind w:firstLine="720"/>
      </w:pPr>
      <w:r>
        <w:t xml:space="preserve">Taken together, the results describe a market with broad but conditional goodwill toward climate-smart cherry tomatoes. At equal prices, every climate-smart product we simulated outsold the conventional baseline, and the best-designed product nearly eliminated non-purchase. Turning that goodwill into a viable premium market, however, depends on three conditions that the results bring into focus: what a technology does to the tomato, how the technology is described, and whether consumers who value climate attributes can afford to pay for them. Benefit messaging, a tool often proposed to close the gap between attitudes and purchases, did not help on average and backfired in several segments. We discuss each finding in turn.</w:t>
      </w:r>
    </w:p>
    <w:p>
      <w:pPr>
        <w:pStyle w:val="Heading2"/>
        <w:spacing w:after="0" w:before="0" w:line="480"/>
      </w:pPr>
      <w:r>
        <w:t xml:space="preserve">Consumers Reward the Claim More Than the Amount</w:t>
      </w:r>
    </w:p>
    <w:p>
      <w:pPr>
        <w:spacing w:after="0" w:before="0" w:line="480"/>
        <w:ind w:firstLine="720"/>
      </w:pPr>
      <w:r>
        <w:t xml:space="preserve">The concave valuation of carbon reductions, with the first 10 percentage points delivering nearly two-thirds of the value of a 30% reduction, suggests that consumers treat a carbon claim primarily as a signal that a product is part of the climate solution rather than as a quantity to be maximized. This pattern is consistent with the “warm glow” of contributing to a public good (Andreoni, 1990) and with the well-documented insensitivity of stated values to the scope of environmental improvements, which Kahneman and Knetsch (1992) interpreted as the purchase of moral satisfaction. The latent class results add a second explanation. Classes 3 and 5 value larger reductions progressively more, but in Classes 1 and 4, which together account for 45.6% of the sample, a 30% reduction is not valued at all, whereas a 20% reduction is. One plausible interpretation is a credibility discount: large claims may seem too good to be true and trigger the skepticism toward environmental marketing documented in research on greenwashing (Delmas &amp; Burbano, 2011). Whatever the mechanism, the practical implication is that, for nearly half the market, a moderate and verifiable claim is worth more than an ambitious one. For producers, the first increment of certified reduction yields the largest market return. For label designers, the results favor threshold-based designations, such as a certified reduced-carbon tier, over continuous percentages whose larger values consumers may discount.</w:t>
      </w:r>
    </w:p>
    <w:p>
      <w:pPr>
        <w:pStyle w:val="Heading2"/>
        <w:spacing w:after="0" w:before="0" w:line="480"/>
      </w:pPr>
      <w:r>
        <w:t xml:space="preserve">Where a Technology Touches the Tomato Matters More Than How Advanced It Is</w:t>
      </w:r>
    </w:p>
    <w:p>
      <w:pPr>
        <w:spacing w:after="0" w:before="0" w:line="480"/>
        <w:ind w:firstLine="720"/>
      </w:pPr>
      <w:r>
        <w:t xml:space="preserve">Research on food technology often treats acceptance as an expression of a general attitude toward technological novelty. Our results argue against this view. AI-based energy efficiency and GMO technology are arguably the two most technologically sophisticated options in the experiment, yet a majority of respondents (Classes 2, 3, and 5; 54.3% of the sample) value AI while rejecting GMO technology, and the largest single class (Class 1) does the reverse. Acceptance is therefore domain-specific. The dimension that best organizes this heterogeneity is the locus of the intervention: whether it changes the greenhouse (how energy is sourced and managed) or the plant and its growing inputs (its genetics, microbiome, irrigation water, and certification). Classes 2 and 5, together 26.4% of respondents, welcome innovation in the greenhouse but reject nearly every intervention in the plant. Class 1 shows the opposite pattern, and Class 3 accepts both, except for genetic modification and, weakly, plant breeding. This distinction parallels the finding that consumers accept nanotechnology in food packaging far more readily than in the food itself (Siegrist et al., 2008), and it is consistent with the view that judgments of naturalness depend more on the process a food undergoes than on its final composition (Rozin, 2005). Technologies that stay in the facility do not become part of what is eaten; technologies that alter the plant do.</w:t>
      </w:r>
    </w:p>
    <w:p>
      <w:pPr>
        <w:spacing w:after="0" w:before="0" w:line="480"/>
        <w:ind w:firstLine="720"/>
      </w:pPr>
      <w:r>
        <w:t xml:space="preserve">Class 4 adds a second dimension: naturalness versus technological sophistication. This segment values nature-based options, whether they act on the plant (beneficial microorganisms) or on the facility (seasonal production), and rejects the high-tech option in each domain (GMO technology and AI). Together, the locus and naturalness dimensions explain why the mixed logit found near-zero means and large standard deviations for AI and organic certification. These attributes are not unimportant; they divide consumers.</w:t>
      </w:r>
    </w:p>
    <w:p>
      <w:pPr>
        <w:spacing w:after="0" w:before="0" w:line="480"/>
        <w:ind w:firstLine="720"/>
      </w:pPr>
      <w:r>
        <w:t xml:space="preserve">The strong valuation of pathogen-free wastewater warrants particular attention. Recycled water used in food production often provokes disgust and contamination concerns (Rozin et al., 2015), and consumers have been found to discount produce irrigated with recycled water (Savchenko et al., 2018). In our experiment, however, pathogen-free wastewater was the most valued non-carbon attribute on average and the defining attribute of Class 4, whose WTP for it equaled the full baseline price. One interpretation is that the “pathogen-free” descriptor reframes water reuse from a contamination risk into a safety assurance, consistent with evidence that the name given to reclaimed water shapes its acceptance (Ellis et al., 2019). The reframing is not universal, however; Class 2 still penalizes the attribute. For water-constrained greenhouse operations, how water reuse is described may matter as much as whether it is adopted.</w:t>
      </w:r>
    </w:p>
    <w:p>
      <w:pPr>
        <w:spacing w:after="0" w:before="0" w:line="480"/>
        <w:ind w:firstLine="720"/>
      </w:pPr>
      <w:r>
        <w:t xml:space="preserve">Organic certification is similarly divisive. Classes 1, 3, and 4 value it, while Classes 2 and 5 penalize it. Notably, Class 5 combines one of the strongest valuations of carbon reduction with the strongest rejection of organic certification, which indicates that, for these consumers, organic is not a climate attribute. Because Class 5 is also the most price-sensitive segment, organic certification may signal a premium-priced, lifestyle-oriented product to these consumers rather than an environmental benefit, although our data cannot identify the mechanism.</w:t>
      </w:r>
    </w:p>
    <w:p>
      <w:pPr>
        <w:pStyle w:val="Heading2"/>
        <w:spacing w:after="0" w:before="0" w:line="480"/>
      </w:pPr>
      <w:r>
        <w:t xml:space="preserve">Words Are Part of the Technology</w:t>
      </w:r>
    </w:p>
    <w:p>
      <w:pPr>
        <w:spacing w:after="0" w:before="0" w:line="480"/>
        <w:ind w:firstLine="720"/>
      </w:pPr>
      <w:r>
        <w:t xml:space="preserve">The intrusive-wording treatment shows that the way a technology is described can change its market value as much as the technology itself. The penalty rises with the depth of the intervention described: none for plant breeding, moderate for beneficial microorganisms, and large for GMO technology. Under intrusive wording, the GMO discount nearly quadrupled, from $0.23 to $0.89 per pack, and the premium for beneficial microorganisms almost disappeared. Much of the resistance to GMO technology is therefore latent: it is present but becomes visible in choices only when the description makes the intervention salient. This finding is consistent with research identifying perceived naturalness as a central driver of the acceptance of novel food technologies (Siegrist &amp; Hartmann, 2020) and showing that information and wording strongly shape the valuation of genetically modified and gene-edited foods (Kilders &amp; Caputo, 2021; Lusk et al., 2005).</w:t>
      </w:r>
    </w:p>
    <w:p>
      <w:pPr>
        <w:spacing w:after="0" w:before="0" w:line="480"/>
        <w:ind w:firstLine="720"/>
      </w:pPr>
      <w:r>
        <w:t xml:space="preserve">Two implications follow. Methodologically, survey estimates of the acceptance of genetic technologies depend heavily on the description used. Studies that describe these technologies neutrally may understate resistance in markets where consumers encounter more vivid descriptions, whereas studies that use vivid descriptions may overstate it. For policy, the choice of disclosure language is not neutral. The term “bioengineered” adopted under the U.S. National Bioengineered Food Disclosure Standard (USDA Agricultural Marketing Service, 2018), and the more vivid language used by advocates and critics, are likely to produce different market outcomes even for identical products. For developers of biological climate-adaptation tools such as beneficial microorganisms, the results suggest communicating what the technology achieves rather than how it intervenes in the plant.</w:t>
      </w:r>
    </w:p>
    <w:p>
      <w:pPr>
        <w:spacing w:after="0" w:before="0" w:line="480"/>
        <w:ind w:firstLine="720"/>
      </w:pPr>
      <w:r>
        <w:t xml:space="preserve">The class-level results show where wording matters most. The GMO wording penalty is largest in Class 4 in utility terms and in Class 3 in dollar terms, the two segments that, together with Class 1, sustain the premium market. It is absent in Class 5, whose opposition to GMO technology is already so strong that a different description does not move it, and smaller in Class 1, which remains GMO-positive even under intrusive wording. The positive effect of intrusive wording on plant breeding in Class 4 is also informative: describing conventional breeding in more detail may reassure consumers by revealing a familiar practice, whereas the same level of detail about genetic modification alarms them. Transparency, in other words, benefits technologies that consumers find familiar and penalizes those they do not.</w:t>
      </w:r>
    </w:p>
    <w:p>
      <w:pPr>
        <w:pStyle w:val="Heading2"/>
        <w:spacing w:after="0" w:before="0" w:line="480"/>
      </w:pPr>
      <w:r>
        <w:t xml:space="preserve">Why Benefit Messages Did Not Move the Market, and for Whom They Did</w:t>
      </w:r>
    </w:p>
    <w:p>
      <w:pPr>
        <w:spacing w:after="0" w:before="0" w:line="480"/>
        <w:ind w:firstLine="720"/>
      </w:pPr>
      <w:r>
        <w:t xml:space="preserve">The message results challenge the common assumption that informing consumers about the benefits of climate-smart products increases purchases. Personal-benefit messages, often expected to be the most persuasive because they appeal to self-interest, never increased participation and reduced it in three segments. The strongest backfire occurred among the climate enthusiasts of Class 3, for whom the personal message lowered the reservation price by $2.33. This pattern is consistent with motivation crowding-out (Frey &amp; Oberholzer-Gee, 1997) and with experimental evidence that self-interested framings of pro-environmental behavior can undermine the very motivation they are meant to reinforce (Bolderdijk et al., 2013; Evans et al., 2013). For consumers who buy climate-smart products as an expression of their values, a message emphasizing personal gain may recast an identity-expressive choice as a transactional one.</w:t>
      </w:r>
    </w:p>
    <w:p>
      <w:pPr>
        <w:spacing w:after="0" w:before="0" w:line="480"/>
        <w:ind w:firstLine="720"/>
      </w:pPr>
      <w:r>
        <w:t xml:space="preserve">Social-benefit messages were the most powerful and the most double-edged. They substantially increased participation in Class 2, a segment that does not otherwise value carbon claims, perhaps because the message supplied a reason to care that the product attributes alone did not. In Class 5, they had the opposite effect. One explanation is psychological reactance (Brehm, 1966): consumers who already care about climate outcomes but face binding price constraints may perceive appeals to social responsibility as moral pressure to pay for something they cannot afford, or as a cue that the product is a premium item. The combined message did not average the two effects. In Class 2, adding a personal benefit to the social message reversed the positive effect of the social message, which suggests that self-interest appeals dilute, rather than complement, social appeals.</w:t>
      </w:r>
    </w:p>
    <w:p>
      <w:pPr>
        <w:spacing w:after="0" w:before="0" w:line="480"/>
        <w:ind w:firstLine="720"/>
      </w:pPr>
      <w:r>
        <w:t xml:space="preserve">These findings have direct implications for marketing and public communication. Because the opposing segment responses cancel in aggregate, a single campaign aimed at all consumers is likely to produce little net effect while alienating some of them, and combining benefits in one message is not a safe compromise. Messaging should instead be targeted, in the spirit of audience segmentation approaches to climate communication (Maibach et al., 2011): social framings for consumers who resemble Class 2, and attribute information rather than benefit appeals for climate enthusiasts and price-constrained consumers. Class 4’s indifference to all messages is a reminder that some consumers respond to what a product is rather than to what it is said to do; for this segment, credible attribute information, particularly about water safety, is the relevant lever.</w:t>
      </w:r>
    </w:p>
    <w:p>
      <w:pPr>
        <w:pStyle w:val="Heading2"/>
        <w:spacing w:after="0" w:before="0" w:line="480"/>
      </w:pPr>
      <w:r>
        <w:t xml:space="preserve">Caring Is Not the Same as Paying</w:t>
      </w:r>
    </w:p>
    <w:p>
      <w:pPr>
        <w:spacing w:after="0" w:before="0" w:line="480"/>
        <w:ind w:firstLine="720"/>
      </w:pPr>
      <w:r>
        <w:t xml:space="preserve">The contrast between Classes 3 and 5 is perhaps the most consequential result for both market development and policy. Both segments value carbon reduction strongly, and at the 10% and 20% levels, Class 5’s coefficients are in fact larger than those of Class 3. Yet Class 3’s WTP for a 30% reduction is $8.34, whereas Class 5’s is $0.65, and at a $2.00 premium fewer than 3% of Class 5 choose any climate-smart product. What separates these segments is not how much they care about climate outcomes but how sensitive they are to price, and they differ demographically in ways consistent with differences in purchasing power: Class 3 members have higher incomes and are more likely to have a partner, whereas Class 5 members are more likely to be non-White and without a partner. The attitude–behavior gap in sustainable food consumption is often attributed to weak or inconsistent attitudes (Vermeir &amp; Verbeke, 2006). For a substantial segment of consumers, our results point instead to a budget constraint.</w:t>
      </w:r>
    </w:p>
    <w:p>
      <w:pPr>
        <w:spacing w:after="0" w:before="0" w:line="480"/>
        <w:ind w:firstLine="720"/>
      </w:pPr>
      <w:r>
        <w:t xml:space="preserve">This finding has an equity dimension. If climate-smart produce is marketed only as a premium product, it will serve affluent climate enthusiasts and exclude a segment that values climate outcomes as strongly but cannot pay a premium, leaving a sizable and more racially diverse group of potential supporters outside the market. For this segment, persuasion is unlikely to help; indeed, social messages backfired. Narrowing the price gap is the more promising lever, whether through producer-side cost-sharing for climate-smart practices, production efficiencies that allow climate-smart products to be sold near conventional prices, or the inclusion of climate-smart produce in nutrition-incentive programs.</w:t>
      </w:r>
    </w:p>
    <w:p>
      <w:pPr>
        <w:spacing w:after="0" w:before="0" w:line="480"/>
        <w:ind w:firstLine="720"/>
      </w:pPr>
      <w:r>
        <w:t xml:space="preserve">The same contrast shows why average WTP is a poor guide for this market. A share-weighted mean WTP of $2.60 for a 30% carbon reduction is driven almost entirely by Class 3, whereas the segment containing the median respondent is willing to pay $0.42. Analysts who rely on average WTP to judge the feasibility of climate-smart premiums would substantially overstate the breadth of the market. The mixed logit specification, which fixes the price coefficient to obtain well-behaved WTP distributions (Daly et al., 2012), is well suited to summarizing average preferences. The latent class results, however, show that price sensitivity varies 13.5-fold across segments and is correlated with attribute preferences in ways that determine who buys at a premium. Reporting segment-level WTP alongside mean estimates provides a more reliable basis for market and policy decisions (Boxall &amp; Adamowicz, 2002; Greene &amp; Hensher, 2003).</w:t>
      </w:r>
    </w:p>
    <w:p>
      <w:pPr>
        <w:keepNext/>
        <w:spacing w:after="120" w:before="240" w:line="240"/>
      </w:pPr>
      <w:r>
        <w:rPr>
          <w:rFonts w:ascii="Times New Roman" w:cs="Times New Roman" w:eastAsia="Times New Roman" w:hAnsi="Times New Roman"/>
          <w:b/>
          <w:bCs/>
        </w:rPr>
        <w:t xml:space="preserve">Table 8. Summary of Consumer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40"/>
        <w:gridCol w:w="1900"/>
        <w:gridCol w:w="1860"/>
        <w:gridCol w:w="1400"/>
      </w:tblGrid>
      <w:tr>
        <w:trPr>
          <w:tblHeader/>
        </w:trPr>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Segment (share)</w:t>
            </w:r>
          </w:p>
        </w:tc>
        <w:tc>
          <w:tcPr>
            <w:tcW w:type="dxa" w:w="264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Preference signature</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Price sensitivity and participation</w:t>
            </w:r>
          </w:p>
        </w:tc>
        <w:tc>
          <w:tcPr>
            <w:tcW w:type="dxa" w:w="186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Response to wording and messages</w:t>
            </w:r>
          </w:p>
        </w:tc>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Distinguishing members (vs. Class 5)</w:t>
            </w:r>
          </w:p>
        </w:tc>
      </w:tr>
      <w:tr>
        <w:trPr>
          <w:cantSplit/>
        </w:trPr>
        <w:tc>
          <w:tcPr>
            <w:tcW w:type="dxa" w:w="15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Class 1: Product-focused pragmatists (34.9%)</w:t>
            </w:r>
          </w:p>
        </w:tc>
        <w:tc>
          <w:tcPr>
            <w:tcW w:type="dxa" w:w="264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Values GMO (only class to do so), pathogen-free water, organic, microorganisms, and 10–20% carbon claims. Rejects AI energy efficiency. Indifferent to seasonal production, bioenergy, and the 30% claim.</w:t>
            </w:r>
          </w:p>
        </w:tc>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Least price-sensitive (β = −0.26); reservation price $11.62; 37–67% choose B at $4.19.</w:t>
            </w:r>
          </w:p>
        </w:tc>
        <w:tc>
          <w:tcPr>
            <w:tcW w:type="dxa" w:w="18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Intrusive wording lowers GMO WTP by $0.95, but GMO stays net positive. Combined message raises opt-out.</w:t>
            </w:r>
          </w:p>
        </w:tc>
        <w:tc>
          <w:tcPr>
            <w:tcW w:type="dxa" w:w="14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Younger; college degree; White.</w:t>
            </w:r>
          </w:p>
        </w:tc>
      </w:tr>
      <w:tr>
        <w:trPr>
          <w:cantSplit/>
        </w:trPr>
        <w:tc>
          <w:tcPr>
            <w:tcW w:type="dxa" w:w="15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Class 2: Energy-minded traditionalists (10.6%)</w:t>
            </w:r>
          </w:p>
        </w:tc>
        <w:tc>
          <w:tcPr>
            <w:tcW w:type="dxa" w:w="264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Values bioenergy, seasonal production, and AI. Rejects GMO, organic, microorganisms, and pathogen-free water. Does not value carbon claims.</w:t>
            </w:r>
          </w:p>
        </w:tc>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Price-sensitive (β = −1.82); reservation price $3.10; ≤4% choose B at $4.19.</w:t>
            </w:r>
          </w:p>
        </w:tc>
        <w:tc>
          <w:tcPr>
            <w:tcW w:type="dxa" w:w="18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Intrusive wording lowers GMO WTP by $0.42. Social message raises reservation price by $1.73; personal and combined messages raise opt-out.</w:t>
            </w:r>
          </w:p>
        </w:tc>
        <w:tc>
          <w:tcPr>
            <w:tcW w:type="dxa" w:w="14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Older; White and fewer children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&lt; 0.10).</w:t>
            </w:r>
          </w:p>
        </w:tc>
      </w:tr>
      <w:tr>
        <w:trPr>
          <w:cantSplit/>
        </w:trPr>
        <w:tc>
          <w:tcPr>
            <w:tcW w:type="dxa" w:w="15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Class 3: Climate enthusiasts (27.9%)</w:t>
            </w:r>
          </w:p>
        </w:tc>
        <w:tc>
          <w:tcPr>
            <w:tcW w:type="dxa" w:w="264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Values carbon reduction (rising most steeply at 30%), AI, bioenergy, seasonal production, organic, and pathogen-free water. Rejects GMO and, weakly, plant breeding.</w:t>
            </w:r>
          </w:p>
        </w:tc>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Low price sensitivity (β = −0.33); reservation price $5.94; 59–99% choose B at $4.19.</w:t>
            </w:r>
          </w:p>
        </w:tc>
        <w:tc>
          <w:tcPr>
            <w:tcW w:type="dxa" w:w="18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Intrusive wording lowers GMO WTP by $2.22. Personal message lowers reservation price by $2.33.</w:t>
            </w:r>
          </w:p>
        </w:tc>
        <w:tc>
          <w:tcPr>
            <w:tcW w:type="dxa" w:w="14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Younger; partnered; higher income; children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&lt; 0.10).</w:t>
            </w:r>
          </w:p>
        </w:tc>
      </w:tr>
      <w:tr>
        <w:trPr>
          <w:cantSplit/>
        </w:trPr>
        <w:tc>
          <w:tcPr>
            <w:tcW w:type="dxa" w:w="15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Class 4: Conditional safety seekers (10.7%)</w:t>
            </w:r>
          </w:p>
        </w:tc>
        <w:tc>
          <w:tcPr>
            <w:tcW w:type="dxa" w:w="264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Values pathogen-free water (WTP = $2.19), seasonal production, microorganisms, 20% carbon claim, and organic. Rejects AI and GMO.</w:t>
            </w:r>
          </w:p>
        </w:tc>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Moderate (β = −1.00); reservation price $1.35, below every tested price; about 70% would not buy if only the conventional pack were offered.</w:t>
            </w:r>
          </w:p>
        </w:tc>
        <w:tc>
          <w:tcPr>
            <w:tcW w:type="dxa" w:w="18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Most wording-sensitive (GMO −⁠$0.99; microorganisms −⁠$0.38; plant breeding +⁠$0.36). No message effects.</w:t>
            </w:r>
          </w:p>
        </w:tc>
        <w:tc>
          <w:tcPr>
            <w:tcW w:type="dxa" w:w="14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Female; partnered; White; older.</w:t>
            </w:r>
          </w:p>
        </w:tc>
      </w:tr>
      <w:tr>
        <w:trPr>
          <w:cantSplit/>
        </w:trPr>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bCs/>
                <w:sz w:val="18"/>
                <w:szCs w:val="18"/>
              </w:rPr>
              <w:t xml:space="preserve">Class 5: Price-constrained climate supporters (15.8%)</w:t>
            </w:r>
          </w:p>
        </w:tc>
        <w:tc>
          <w:tcPr>
            <w:tcW w:type="dxa" w:w="264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Values carbon reduction, seasonal production, bioenergy, and AI. Rejects all temperature-tolerance technologies (GMO most strongly) and organic.</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Most price-sensitive (β = −3.51); reservation price $3.76; WTP for 30% carbon only $0.65; &lt;3% choose B at $4.19.</w:t>
            </w:r>
          </w:p>
        </w:tc>
        <w:tc>
          <w:tcPr>
            <w:tcW w:type="dxa" w:w="186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No wording effect on GMO (already strongly opposed). Social message lowers reservation price by $1.34; personal message also raises opt-out.</w:t>
            </w:r>
          </w:p>
        </w:tc>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20" w:before="20" w:line="240"/>
              <w:jc w:val="left"/>
            </w:pPr>
            <w:r>
              <w:rPr>
                <w:rFonts w:ascii="Times New Roman" w:cs="Times New Roman" w:eastAsia="Times New Roman" w:hAnsi="Times New Roman"/>
                <w:b w:val="false"/>
                <w:bCs w:val="false"/>
                <w:sz w:val="18"/>
                <w:szCs w:val="18"/>
              </w:rPr>
              <w:t xml:space="preserve">Reference class: more often non-White and without a partner; lower income than Class 3.</w:t>
            </w:r>
          </w:p>
        </w:tc>
      </w:tr>
    </w:tbl>
    <w:p>
      <w:pPr>
        <w:spacing w:after="240" w:before="80" w:line="240"/>
      </w:pPr>
      <w:r>
        <w:rPr>
          <w:rFonts w:ascii="Times New Roman" w:cs="Times New Roman" w:eastAsia="Times New Roman" w:hAnsi="Times New Roman"/>
          <w:sz w:val="18"/>
          <w:szCs w:val="18"/>
        </w:rPr>
        <w:t xml:space="preserve">Notes: Reservation price is the price at which the conventional baseline pack and opting out yield equal utility (−ASC/β</w:t>
      </w:r>
      <w:r>
        <w:rPr>
          <w:rFonts w:ascii="Times New Roman" w:cs="Times New Roman" w:eastAsia="Times New Roman" w:hAnsi="Times New Roman"/>
          <w:sz w:val="18"/>
          <w:szCs w:val="18"/>
          <w:vertAlign w:val="subscript"/>
        </w:rPr>
        <w:t xml:space="preserve">price</w:t>
      </w:r>
      <w:r>
        <w:rPr>
          <w:rFonts w:ascii="Times New Roman" w:cs="Times New Roman" w:eastAsia="Times New Roman" w:hAnsi="Times New Roman"/>
          <w:sz w:val="18"/>
          <w:szCs w:val="18"/>
        </w:rPr>
        <w:t xml:space="preserve">), evaluated for the no-message condition. Purchase probabilities at $4.19 are from Table 7. Membership characteristics are relative to Class 5 (Table 4, Panel B) and significant at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&lt; 0.05 unless noted.</w:t>
      </w:r>
    </w:p>
    <w:p>
      <w:pPr>
        <w:pStyle w:val="Heading2"/>
        <w:spacing w:after="0" w:before="0" w:line="480"/>
      </w:pPr>
      <w:r>
        <w:t xml:space="preserve">Implications for Growers, Retailers, and Policymakers</w:t>
      </w:r>
    </w:p>
    <w:p>
      <w:pPr>
        <w:spacing w:after="0" w:before="0" w:line="480"/>
        <w:ind w:firstLine="720"/>
      </w:pPr>
      <w:r>
        <w:t xml:space="preserve">The simulations translate these findings into concrete guidance. First, product design should start from consensus attributes and add only those segment-specific attributes that do not alienate other premium-paying segments. The B4 profile illustrates this approach: a moderate carbon claim, seasonal production, beneficial microorganisms, pathogen-free wastewater, and organic certification together achieve the highest share and the lowest non-purchase rate at every price. Second, the decision to adopt a technology is distinct from the decision to advertise it. A grower may benefit from AI-based climate control, but featuring it on the label divides consumers; GMO technology, even when described neutrally, gains nothing in its target segment and loses share elsewhere. Third, climate-smart tomatoes can support meaningful premiums: demand for B1a, B3, and B4 remains inelastic up to $4.19, nearly double the conventional price. These premiums, however, are paid almost exclusively by three segments, and products built around the preferences of price-sensitive segments (B2 and B5) have little or no premium capacity. A product’s premium potential thus depends less on how green it is (B5, despite its 30% carbon claim, has among the least premium capacity) than on whose preferences its attributes match. Fourth, climate-smart products can expand the category. Class 4 would largely abstain from a market offering only conventional tomatoes but buys readily when water-safety and nature-based attributes are present, which is relevant to retailers’ category management as well as to growers.</w:t>
      </w:r>
    </w:p>
    <w:p>
      <w:pPr>
        <w:spacing w:after="0" w:before="0" w:line="480"/>
        <w:ind w:firstLine="720"/>
      </w:pPr>
      <w:r>
        <w:t xml:space="preserve">For policymakers, the results point to three levers: label designs that certify credible threshold reductions rather than emphasize large percentages; careful attention to the wording of technology disclosures, which can change market outcomes independently of the technology itself; and measures that reduce the price premium for climate-smart produce, which are more likely to reach price-constrained climate supporters than information campaigns.</w:t>
      </w:r>
    </w:p>
    <w:p>
      <w:pPr>
        <w:pStyle w:val="Heading2"/>
        <w:spacing w:after="0" w:before="0" w:line="480"/>
      </w:pPr>
      <w:r>
        <w:t xml:space="preserve">Limitations and Future Research</w:t>
      </w:r>
    </w:p>
    <w:p>
      <w:pPr>
        <w:spacing w:after="0" w:before="0" w:line="480"/>
        <w:ind w:firstLine="720"/>
      </w:pPr>
      <w:r>
        <w:t xml:space="preserve">Several limitations qualify these conclusions. First, as in all stated-preference studies, hypothetical bias may inflate WTP estimates (Murphy et al., 2005). Relative comparisons across attributes, segments, and treatments are likely more robust than absolute dollar values, and validation with non-hypothetical experiments or retail scanner data would be valuable. Second, the sample under-represents high-income households. Because income predicts membership in Class 3, the population share of climate enthusiasts and population-level WTP may be higher than our estimates suggest; reweighting to population benchmarks would provide a useful robustness check. Third, the mixed logit model fixes the price coefficient, whereas the latent class model reveals substantial price heterogeneity. Models estimated in WTP space (Train &amp; Weeks, 2005) or specifications that allow for scale heterogeneity (Fiebig et al., 2010) would test the sensitivity of the WTP results, particularly for Class 3, whose estimates are imprecise because of its small price coefficient. Differences in coefficient magnitudes across classes may also partly reflect differences in choice consistency (scale) rather than preference intensity, although WTP ratios are unaffected by scale.</w:t>
      </w:r>
    </w:p>
    <w:p>
      <w:pPr>
        <w:spacing w:after="0" w:before="0" w:line="480"/>
        <w:ind w:firstLine="720"/>
      </w:pPr>
      <w:r>
        <w:t xml:space="preserve">Fourth, the benefit messages were modeled as shifting only the utility of opting out, so the analysis cannot capture message effects on the valuation of specific attributes. Future work should test message × attribute interactions and verify that class membership is independent of message assignment, for example by including treatment indicators in the membership function, particularly given the large social-message coefficients for Classes 2 and 5. Fifth, the intrusive-wording treatment was applied only to the temperature-tolerance technologies; extending it to AI and water reuse would show whether the description effect generalizes. Finally, the study focuses on a single product, greenhouse cherry tomatoes, and the simulations assume full awareness of product attributes and ignore production costs. The revenue index therefore indicates where demand is inelastic but cannot identify profit-maximizing prices, which would require cost data on climate-smart production.</w:t>
      </w:r>
    </w:p>
    <w:p>
      <w:pPr>
        <w:pStyle w:val="Heading1"/>
        <w:spacing w:after="0" w:before="0" w:line="480"/>
        <w:jc w:val="center"/>
      </w:pPr>
      <w:r>
        <w:t xml:space="preserve">Conclusion</w:t>
      </w:r>
    </w:p>
    <w:p>
      <w:pPr>
        <w:spacing w:after="0" w:before="0" w:line="480"/>
        <w:ind w:firstLine="720"/>
      </w:pPr>
      <w:r>
        <w:t xml:space="preserve">This study examined how U.S. consumers value climate-smart greenhouse cherry tomatoes that combine mitigation attributes (carbon reduction and energy-efficient production) with adaptation attributes (temperature-tolerance technologies and water reuse), and how technology descriptions and benefit messages shape these valuations. Using a discrete choice experiment with 4,796 respondents, mixed logit and latent class models, and market simulations, we find broad but conditional support for climate-smart produce.</w:t>
      </w:r>
    </w:p>
    <w:p>
      <w:pPr>
        <w:spacing w:after="0" w:before="0" w:line="480"/>
        <w:ind w:firstLine="720"/>
      </w:pPr>
      <w:r>
        <w:t xml:space="preserve">Four findings stand out. First, carbon-reduction claims are the most widely valued attribute, but their value is concave: a credible, moderate claim captures most of the premium, and for nearly half of the market the largest claim is worth less than a moderate one. Second, the acceptance of production technologies depends on where they act and how they are described. Most consumers value AI-based energy management in the greenhouse while rejecting genetic modification of the plant, one in four welcomes changes to the greenhouse’s energy system while rejecting nearly any intervention in the plant, and intrusive wording nearly quadruples the GMO discount while erasing most of the premium for beneficial microorganisms. Third, benefit messages did not increase purchases on average; self-interest appeals backfired among climate enthusiasts, and social appeals drew in one segment while driving away another. Fourth, the market comprises five distinct segments. The premium market rests on three of them (73.5% of consumers), while a segment of price-constrained climate supporters (15.8%) values climate outcomes strongly but is effectively priced out by premiums.</w:t>
      </w:r>
    </w:p>
    <w:p>
      <w:pPr>
        <w:spacing w:after="0" w:before="0" w:line="480"/>
        <w:ind w:firstLine="720"/>
      </w:pPr>
      <w:r>
        <w:t xml:space="preserve">These findings carry a simple lesson for growers, marketers, and policymakers. The climate-smart tomato that succeeds is not the one with the most technology, the largest carbon claim, or the most insistent message, but the one whose attributes, description, and price match the consumers who will actually buy it. Designing around consensus attributes, describing technologies by what they achieve, targeting messages rather than broadcasting them, and narrowing the price gap for price-constrained consumers offer a practical path from consumer goodwill to a viable and more inclusive market for climate-smart food.</w:t>
      </w:r>
    </w:p>
    <w:p>
      <w:r>
        <w:br w:type="page"/>
      </w:r>
    </w:p>
    <w:p>
      <w:pPr>
        <w:pStyle w:val="Heading1"/>
        <w:spacing w:after="0" w:before="0" w:line="480"/>
        <w:jc w:val="center"/>
      </w:pPr>
      <w:r>
        <w:t xml:space="preserve">References</w:t>
      </w:r>
    </w:p>
    <w:p>
      <w:pPr>
        <w:spacing w:after="0" w:before="0" w:line="480"/>
        <w:ind w:left="720" w:hanging="720"/>
      </w:pPr>
      <w:r>
        <w:t xml:space="preserve">Andreoni, J. (1990). Impure altruism and donations to public goods: A theory of warm-glow giving. </w:t>
      </w:r>
      <w:r>
        <w:rPr>
          <w:i/>
          <w:iCs/>
        </w:rPr>
        <w:t xml:space="preserve">The Economic Journal, 100</w:t>
      </w:r>
      <w:r>
        <w:t xml:space="preserve">(401), 464–477.</w:t>
      </w:r>
    </w:p>
    <w:p>
      <w:pPr>
        <w:spacing w:after="0" w:before="0" w:line="480"/>
        <w:ind w:left="720" w:hanging="720"/>
      </w:pPr>
      <w:r>
        <w:t xml:space="preserve">Bolderdijk, J. W., Steg, L., Geller, E. S., Lehman, P. K., &amp; Postmes, T. (2013). Comparing the effectiveness of monetary versus moral motives in environmental campaigning. </w:t>
      </w:r>
      <w:r>
        <w:rPr>
          <w:i/>
          <w:iCs/>
        </w:rPr>
        <w:t xml:space="preserve">Nature Climate Change, 3</w:t>
      </w:r>
      <w:r>
        <w:t xml:space="preserve">(4), 413–416.</w:t>
      </w:r>
    </w:p>
    <w:p>
      <w:pPr>
        <w:spacing w:after="0" w:before="0" w:line="480"/>
        <w:ind w:left="720" w:hanging="720"/>
      </w:pPr>
      <w:r>
        <w:t xml:space="preserve">Boxall, P. C., &amp; Adamowicz, W. L. (2002). Understanding heterogeneous preferences in random utility models: A latent class approach. </w:t>
      </w:r>
      <w:r>
        <w:rPr>
          <w:i/>
          <w:iCs/>
        </w:rPr>
        <w:t xml:space="preserve">Environmental and Resource Economics, 23</w:t>
      </w:r>
      <w:r>
        <w:t xml:space="preserve">(4), 421–446.</w:t>
      </w:r>
    </w:p>
    <w:p>
      <w:pPr>
        <w:spacing w:after="0" w:before="0" w:line="480"/>
        <w:ind w:left="720" w:hanging="720"/>
      </w:pPr>
      <w:r>
        <w:t xml:space="preserve">Brehm, J. W. (1966). </w:t>
      </w:r>
      <w:r>
        <w:rPr>
          <w:i/>
          <w:iCs/>
        </w:rPr>
        <w:t xml:space="preserve">A theory of psychological reactance</w:t>
      </w:r>
      <w:r>
        <w:t xml:space="preserve">. Academic Press.</w:t>
      </w:r>
    </w:p>
    <w:p>
      <w:pPr>
        <w:spacing w:after="0" w:before="0" w:line="480"/>
        <w:ind w:left="720" w:hanging="720"/>
      </w:pPr>
      <w:r>
        <w:t xml:space="preserve">Daly, A., Hess, S., &amp; Train, K. (2012). Assuring finite moments for willingness to pay in random coefficient models. </w:t>
      </w:r>
      <w:r>
        <w:rPr>
          <w:i/>
          <w:iCs/>
        </w:rPr>
        <w:t xml:space="preserve">Transportation, 39</w:t>
      </w:r>
      <w:r>
        <w:t xml:space="preserve">(1), 19–31.</w:t>
      </w:r>
    </w:p>
    <w:p>
      <w:pPr>
        <w:spacing w:after="0" w:before="0" w:line="480"/>
        <w:ind w:left="720" w:hanging="720"/>
      </w:pPr>
      <w:r>
        <w:t xml:space="preserve">Delmas, M. A., &amp; Burbano, V. C. (2011). The drivers of greenwashing. </w:t>
      </w:r>
      <w:r>
        <w:rPr>
          <w:i/>
          <w:iCs/>
        </w:rPr>
        <w:t xml:space="preserve">California Management Review, 54</w:t>
      </w:r>
      <w:r>
        <w:t xml:space="preserve">(1), 64–87.</w:t>
      </w:r>
    </w:p>
    <w:p>
      <w:pPr>
        <w:spacing w:after="0" w:before="0" w:line="480"/>
        <w:ind w:left="720" w:hanging="720"/>
      </w:pPr>
      <w:r>
        <w:t xml:space="preserve">Ellis, S. F., Savchenko, O. M., &amp; Messer, K. D. (2019). What’s in a name? Branding reclaimed water. </w:t>
      </w:r>
      <w:r>
        <w:rPr>
          <w:i/>
          <w:iCs/>
        </w:rPr>
        <w:t xml:space="preserve">Environmental Research, 172</w:t>
      </w:r>
      <w:r>
        <w:t xml:space="preserve">, 384–393.</w:t>
      </w:r>
    </w:p>
    <w:p>
      <w:pPr>
        <w:spacing w:after="0" w:before="0" w:line="480"/>
        <w:ind w:left="720" w:hanging="720"/>
      </w:pPr>
      <w:r>
        <w:t xml:space="preserve">Evans, L., Maio, G. R., Corner, A., Hodgetts, C. J., Ahmed, S., &amp; Hahn, U. (2013). Self-interest and pro-environmental behaviour. </w:t>
      </w:r>
      <w:r>
        <w:rPr>
          <w:i/>
          <w:iCs/>
        </w:rPr>
        <w:t xml:space="preserve">Nature Climate Change, 3</w:t>
      </w:r>
      <w:r>
        <w:t xml:space="preserve">(2), 122–125.</w:t>
      </w:r>
    </w:p>
    <w:p>
      <w:pPr>
        <w:spacing w:after="0" w:before="0" w:line="480"/>
        <w:ind w:left="720" w:hanging="720"/>
      </w:pPr>
      <w:r>
        <w:t xml:space="preserve">Fiebig, D. G., Keane, M. P., Louviere, J., &amp; Wasi, N. (2010). The generalized multinomial logit model: Accounting for scale and coefficient heterogeneity. </w:t>
      </w:r>
      <w:r>
        <w:rPr>
          <w:i/>
          <w:iCs/>
        </w:rPr>
        <w:t xml:space="preserve">Marketing Science, 29</w:t>
      </w:r>
      <w:r>
        <w:t xml:space="preserve">(3), 393–421.</w:t>
      </w:r>
    </w:p>
    <w:p>
      <w:pPr>
        <w:spacing w:after="0" w:before="0" w:line="480"/>
        <w:ind w:left="720" w:hanging="720"/>
      </w:pPr>
      <w:r>
        <w:t xml:space="preserve">Frey, B. S., &amp; Oberholzer-Gee, F. (1997). The cost of price incentives: An empirical analysis of motivation crowding-out. </w:t>
      </w:r>
      <w:r>
        <w:rPr>
          <w:i/>
          <w:iCs/>
        </w:rPr>
        <w:t xml:space="preserve">American Economic Review, 87</w:t>
      </w:r>
      <w:r>
        <w:t xml:space="preserve">(4), 746–755.</w:t>
      </w:r>
    </w:p>
    <w:p>
      <w:pPr>
        <w:spacing w:after="0" w:before="0" w:line="480"/>
        <w:ind w:left="720" w:hanging="720"/>
      </w:pPr>
      <w:r>
        <w:t xml:space="preserve">Greene, W. H., &amp; Hensher, D. A. (2003). A latent class model for discrete choice analysis: Contrasts with mixed logit. </w:t>
      </w:r>
      <w:r>
        <w:rPr>
          <w:i/>
          <w:iCs/>
        </w:rPr>
        <w:t xml:space="preserve">Transportation Research Part B: Methodological, 37</w:t>
      </w:r>
      <w:r>
        <w:t xml:space="preserve">(8), 681–698.</w:t>
      </w:r>
    </w:p>
    <w:p>
      <w:pPr>
        <w:spacing w:after="0" w:before="0" w:line="480"/>
        <w:ind w:left="720" w:hanging="720"/>
      </w:pPr>
      <w:r>
        <w:t xml:space="preserve">Kahneman, D., &amp; Knetsch, J. L. (1992). Valuing public goods: The purchase of moral satisfaction. </w:t>
      </w:r>
      <w:r>
        <w:rPr>
          <w:i/>
          <w:iCs/>
        </w:rPr>
        <w:t xml:space="preserve">Journal of Environmental Economics and Management, 22</w:t>
      </w:r>
      <w:r>
        <w:t xml:space="preserve">(1), 57–70.</w:t>
      </w:r>
    </w:p>
    <w:p>
      <w:pPr>
        <w:spacing w:after="0" w:before="0" w:line="480"/>
        <w:ind w:left="720" w:hanging="720"/>
      </w:pPr>
      <w:r>
        <w:t xml:space="preserve">Kilders, V., &amp; Caputo, V. (2021). Is animal welfare promoting hornless cattle? Assessing consumer’s valuation for milk from gene-edited cows under different information regimes. </w:t>
      </w:r>
      <w:r>
        <w:rPr>
          <w:i/>
          <w:iCs/>
        </w:rPr>
        <w:t xml:space="preserve">Journal of Agricultural Economics, 72</w:t>
      </w:r>
      <w:r>
        <w:t xml:space="preserve">(3), 735–759.</w:t>
      </w:r>
    </w:p>
    <w:p>
      <w:pPr>
        <w:spacing w:after="0" w:before="0" w:line="480"/>
        <w:ind w:left="720" w:hanging="720"/>
      </w:pPr>
      <w:r>
        <w:t xml:space="preserve">Lusk, J. L., Jamal, M., Kurlander, L., Roucan, M., &amp; Taulman, L. (2005). A meta-analysis of genetically modified food valuation studies. </w:t>
      </w:r>
      <w:r>
        <w:rPr>
          <w:i/>
          <w:iCs/>
        </w:rPr>
        <w:t xml:space="preserve">Journal of Agricultural and Resource Economics, 30</w:t>
      </w:r>
      <w:r>
        <w:t xml:space="preserve">(1), 28–44.</w:t>
      </w:r>
    </w:p>
    <w:p>
      <w:pPr>
        <w:spacing w:after="0" w:before="0" w:line="480"/>
        <w:ind w:left="720" w:hanging="720"/>
      </w:pPr>
      <w:r>
        <w:t xml:space="preserve">Maibach, E. W., Leiserowitz, A., Roser-Renouf, C., &amp; Mertz, C. K. (2011). Identifying like-minded audiences for global warming public engagement campaigns: An audience segmentation analysis and tool development. </w:t>
      </w:r>
      <w:r>
        <w:rPr>
          <w:i/>
          <w:iCs/>
        </w:rPr>
        <w:t xml:space="preserve">PLoS ONE, 6</w:t>
      </w:r>
      <w:r>
        <w:t xml:space="preserve">(3), e17571.</w:t>
      </w:r>
    </w:p>
    <w:p>
      <w:pPr>
        <w:spacing w:after="0" w:before="0" w:line="480"/>
        <w:ind w:left="720" w:hanging="720"/>
      </w:pPr>
      <w:r>
        <w:t xml:space="preserve">Murphy, J. J., Allen, P. G., Stevens, T. H., &amp; Weatherhead, D. (2005). A meta-analysis of hypothetical bias in stated preference valuation. </w:t>
      </w:r>
      <w:r>
        <w:rPr>
          <w:i/>
          <w:iCs/>
        </w:rPr>
        <w:t xml:space="preserve">Environmental and Resource Economics, 30</w:t>
      </w:r>
      <w:r>
        <w:t xml:space="preserve">(3), 313–325.</w:t>
      </w:r>
    </w:p>
    <w:p>
      <w:pPr>
        <w:spacing w:after="0" w:before="0" w:line="480"/>
        <w:ind w:left="720" w:hanging="720"/>
      </w:pPr>
      <w:r>
        <w:t xml:space="preserve">Rozin, P. (2005). The meaning of “natural”: Process more important than content. </w:t>
      </w:r>
      <w:r>
        <w:rPr>
          <w:i/>
          <w:iCs/>
        </w:rPr>
        <w:t xml:space="preserve">Psychological Science, 16</w:t>
      </w:r>
      <w:r>
        <w:t xml:space="preserve">(8), 652–658.</w:t>
      </w:r>
    </w:p>
    <w:p>
      <w:pPr>
        <w:spacing w:after="0" w:before="0" w:line="480"/>
        <w:ind w:left="720" w:hanging="720"/>
      </w:pPr>
      <w:r>
        <w:t xml:space="preserve">Rozin, P., Haddad, B., Nemeroff, C., &amp; Slovic, P. (2015). Psychological aspects of the rejection of recycled water: Contamination, purification and disgust. </w:t>
      </w:r>
      <w:r>
        <w:rPr>
          <w:i/>
          <w:iCs/>
        </w:rPr>
        <w:t xml:space="preserve">Judgment and Decision Making, 10</w:t>
      </w:r>
      <w:r>
        <w:t xml:space="preserve">(1), 50–63.</w:t>
      </w:r>
    </w:p>
    <w:p>
      <w:pPr>
        <w:spacing w:after="0" w:before="0" w:line="480"/>
        <w:ind w:left="720" w:hanging="720"/>
      </w:pPr>
      <w:r>
        <w:t xml:space="preserve">Savchenko, O. M., Kecinski, M., Li, T., Messer, K. D., &amp; Xu, H. (2018). Fresh foods irrigated with recycled water: A framed field experiment on consumer responses. </w:t>
      </w:r>
      <w:r>
        <w:rPr>
          <w:i/>
          <w:iCs/>
        </w:rPr>
        <w:t xml:space="preserve">Food Policy, 80</w:t>
      </w:r>
      <w:r>
        <w:t xml:space="preserve">, 103–112.</w:t>
      </w:r>
    </w:p>
    <w:p>
      <w:pPr>
        <w:spacing w:after="0" w:before="0" w:line="480"/>
        <w:ind w:left="720" w:hanging="720"/>
      </w:pPr>
      <w:r>
        <w:t xml:space="preserve">Siegrist, M., &amp; Hartmann, C. (2020). Consumer acceptance of novel food technologies. </w:t>
      </w:r>
      <w:r>
        <w:rPr>
          <w:i/>
          <w:iCs/>
        </w:rPr>
        <w:t xml:space="preserve">Nature Food, 1</w:t>
      </w:r>
      <w:r>
        <w:t xml:space="preserve">(6), 343–350.</w:t>
      </w:r>
    </w:p>
    <w:p>
      <w:pPr>
        <w:spacing w:after="0" w:before="0" w:line="480"/>
        <w:ind w:left="720" w:hanging="720"/>
      </w:pPr>
      <w:r>
        <w:t xml:space="preserve">Siegrist, M., Stampfli, N., Kastenholz, H., &amp; Keller, C. (2008). Perceived risks and perceived benefits of different nanotechnology foods and nanotechnology food packaging. </w:t>
      </w:r>
      <w:r>
        <w:rPr>
          <w:i/>
          <w:iCs/>
        </w:rPr>
        <w:t xml:space="preserve">Appetite, 51</w:t>
      </w:r>
      <w:r>
        <w:t xml:space="preserve">(2), 283–290.</w:t>
      </w:r>
    </w:p>
    <w:p>
      <w:pPr>
        <w:spacing w:after="0" w:before="0" w:line="480"/>
        <w:ind w:left="720" w:hanging="720"/>
      </w:pPr>
      <w:r>
        <w:t xml:space="preserve">Train, K., &amp; Weeks, M. (2005). Discrete choice models in preference space and willingness-to-pay space. In R. Scarpa &amp; A. Alberini (Eds.), </w:t>
      </w:r>
      <w:r>
        <w:rPr>
          <w:i/>
          <w:iCs/>
        </w:rPr>
        <w:t xml:space="preserve">Applications of simulation methods in environmental and resource economics</w:t>
      </w:r>
      <w:r>
        <w:t xml:space="preserve"> (pp. 1–16). Springer.</w:t>
      </w:r>
    </w:p>
    <w:p>
      <w:pPr>
        <w:spacing w:after="0" w:before="0" w:line="480"/>
        <w:ind w:left="720" w:hanging="720"/>
      </w:pPr>
      <w:r>
        <w:t xml:space="preserve">USDA Agricultural Marketing Service. (2018). National Bioengineered Food Disclosure Standard. </w:t>
      </w:r>
      <w:r>
        <w:rPr>
          <w:i/>
          <w:iCs/>
        </w:rPr>
        <w:t xml:space="preserve">Federal Register, 83</w:t>
      </w:r>
      <w:r>
        <w:t xml:space="preserve">(245), 65814–65876.</w:t>
      </w:r>
    </w:p>
    <w:p>
      <w:pPr>
        <w:spacing w:after="0" w:before="0" w:line="480"/>
        <w:ind w:left="720" w:hanging="720"/>
      </w:pPr>
      <w:r>
        <w:t xml:space="preserve">Vermeir, I., &amp; Verbeke, W. (2006). Sustainable food consumption: Exploring the consumer “attitude–behavioral intention” gap. </w:t>
      </w:r>
      <w:r>
        <w:rPr>
          <w:i/>
          <w:iCs/>
        </w:rPr>
        <w:t xml:space="preserve">Journal of Agricultural and Environmental Ethics, 19</w:t>
      </w:r>
      <w:r>
        <w:t xml:space="preserve">(2), 169–194.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Discussion, and Conclusion</dc:title>
  <dc:creator>Varziri, Azita</dc:creator>
  <cp:lastModifiedBy>Un-named</cp:lastModifiedBy>
  <cp:revision>1</cp:revision>
  <dcterms:created xsi:type="dcterms:W3CDTF">2026-10-03T01:30:05.665Z</dcterms:created>
  <dcterms:modified xsi:type="dcterms:W3CDTF">2026-10-03T01:30:05.665Z</dcterms:modified>
</cp:coreProperties>
</file>

<file path=docProps/custom.xml><?xml version="1.0" encoding="utf-8"?>
<Properties xmlns="http://schemas.openxmlformats.org/officeDocument/2006/custom-properties" xmlns:vt="http://schemas.openxmlformats.org/officeDocument/2006/docPropsVTypes"/>
</file>