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64D3" w:rsidRPr="00FB1AD4" w:rsidRDefault="00FB1AD4" w:rsidP="00FB1AD4">
      <w:pPr>
        <w:spacing w:after="0" w:line="240" w:lineRule="auto"/>
        <w:rPr>
          <w:rFonts w:asciiTheme="majorBidi" w:hAnsiTheme="majorBidi" w:cstheme="majorBidi"/>
          <w:sz w:val="24"/>
          <w:szCs w:val="24"/>
        </w:rPr>
      </w:pPr>
      <w:r w:rsidRPr="00FB1AD4">
        <w:rPr>
          <w:rFonts w:asciiTheme="majorBidi" w:hAnsiTheme="majorBidi" w:cstheme="majorBidi"/>
          <w:b/>
          <w:bCs/>
          <w:sz w:val="24"/>
          <w:szCs w:val="24"/>
        </w:rPr>
        <w:t>AZITA VARZIRI, Ph.D.</w:t>
      </w:r>
      <w:r w:rsidRPr="00FB1AD4">
        <w:rPr>
          <w:rFonts w:asciiTheme="majorBidi" w:hAnsiTheme="majorBidi" w:cstheme="majorBidi"/>
          <w:sz w:val="24"/>
          <w:szCs w:val="24"/>
        </w:rPr>
        <w:br/>
        <w:t>Postdoctoral Scholar in Agricultural Economics</w:t>
      </w:r>
      <w:r w:rsidRPr="00FB1AD4">
        <w:rPr>
          <w:rFonts w:asciiTheme="majorBidi" w:hAnsiTheme="majorBidi" w:cstheme="majorBidi"/>
          <w:sz w:val="24"/>
          <w:szCs w:val="24"/>
        </w:rPr>
        <w:br/>
        <w:t>College of Agriculture, Environment and Nutrition Sciences</w:t>
      </w:r>
      <w:r w:rsidRPr="00FB1AD4">
        <w:rPr>
          <w:rFonts w:asciiTheme="majorBidi" w:hAnsiTheme="majorBidi" w:cstheme="majorBidi"/>
          <w:sz w:val="24"/>
          <w:szCs w:val="24"/>
        </w:rPr>
        <w:br/>
        <w:t>Tus</w:t>
      </w:r>
      <w:r>
        <w:rPr>
          <w:rFonts w:asciiTheme="majorBidi" w:hAnsiTheme="majorBidi" w:cstheme="majorBidi"/>
          <w:sz w:val="24"/>
          <w:szCs w:val="24"/>
        </w:rPr>
        <w:t>kegee University | Tuskegee, AL</w:t>
      </w:r>
      <w:r w:rsidR="009943B6" w:rsidRPr="00840428">
        <w:rPr>
          <w:rFonts w:asciiTheme="majorBidi" w:hAnsiTheme="majorBidi" w:cstheme="majorBidi"/>
          <w:sz w:val="24"/>
          <w:szCs w:val="24"/>
        </w:rPr>
        <w:br/>
      </w:r>
      <w:r w:rsidR="003364D3" w:rsidRPr="00840428">
        <w:rPr>
          <w:rFonts w:ascii="Times New Roman" w:eastAsia="Calibri" w:hAnsi="Times New Roman" w:cs="Times New Roman"/>
          <w:color w:val="0563C1"/>
          <w:sz w:val="24"/>
          <w:szCs w:val="24"/>
          <w:u w:val="single"/>
        </w:rPr>
        <w:t>a.varziri@yahoo.com</w:t>
      </w:r>
      <w:r w:rsidR="003364D3" w:rsidRPr="00840428">
        <w:rPr>
          <w:rFonts w:ascii="Times New Roman" w:eastAsia="Calibri" w:hAnsi="Times New Roman" w:cs="Times New Roman"/>
          <w:color w:val="0563C1"/>
          <w:sz w:val="24"/>
          <w:szCs w:val="24"/>
        </w:rPr>
        <w:t> </w:t>
      </w:r>
      <w:r w:rsidR="003364D3" w:rsidRPr="00840428">
        <w:rPr>
          <w:rFonts w:ascii="Times New Roman" w:eastAsia="Calibri" w:hAnsi="Times New Roman" w:cs="Times New Roman"/>
          <w:color w:val="000000" w:themeColor="text1"/>
          <w:sz w:val="24"/>
          <w:szCs w:val="24"/>
        </w:rPr>
        <w:t>|</w:t>
      </w:r>
      <w:r w:rsidR="003364D3" w:rsidRPr="00840428">
        <w:rPr>
          <w:rFonts w:ascii="Times New Roman" w:eastAsia="Calibri" w:hAnsi="Times New Roman" w:cs="Times New Roman"/>
          <w:color w:val="0563C1"/>
          <w:sz w:val="24"/>
          <w:szCs w:val="24"/>
        </w:rPr>
        <w:t> </w:t>
      </w:r>
      <w:r w:rsidR="003364D3" w:rsidRPr="00840428">
        <w:rPr>
          <w:rFonts w:ascii="Times New Roman" w:eastAsia="Calibri" w:hAnsi="Times New Roman" w:cs="Times New Roman"/>
          <w:color w:val="0563C1"/>
          <w:sz w:val="24"/>
          <w:szCs w:val="24"/>
          <w:u w:val="single"/>
        </w:rPr>
        <w:t>avarziri@tuskegee.edu</w:t>
      </w:r>
      <w:r w:rsidR="003364D3" w:rsidRPr="00840428">
        <w:rPr>
          <w:rFonts w:ascii="Times New Roman" w:eastAsia="Calibri" w:hAnsi="Times New Roman" w:cs="Times New Roman"/>
          <w:color w:val="404040"/>
          <w:sz w:val="24"/>
          <w:szCs w:val="24"/>
        </w:rPr>
        <w:t xml:space="preserve"> | (859) 227–4626</w:t>
      </w:r>
    </w:p>
    <w:p w:rsidR="00312A79" w:rsidRPr="00840428" w:rsidRDefault="00312A79" w:rsidP="005E673C">
      <w:pPr>
        <w:pBdr>
          <w:bottom w:val="single" w:sz="6" w:space="1" w:color="auto"/>
        </w:pBdr>
        <w:rPr>
          <w:rFonts w:asciiTheme="majorBidi" w:hAnsiTheme="majorBidi" w:cstheme="majorBidi"/>
          <w:sz w:val="24"/>
          <w:szCs w:val="24"/>
        </w:rPr>
      </w:pPr>
    </w:p>
    <w:p w:rsidR="005F7B6F" w:rsidRPr="00840428" w:rsidRDefault="005F7B6F" w:rsidP="005F7B6F">
      <w:pPr>
        <w:jc w:val="both"/>
        <w:rPr>
          <w:rFonts w:asciiTheme="majorBidi" w:hAnsiTheme="majorBidi" w:cstheme="majorBidi"/>
          <w:sz w:val="24"/>
          <w:szCs w:val="24"/>
        </w:rPr>
      </w:pPr>
      <w:r w:rsidRPr="00840428">
        <w:rPr>
          <w:rFonts w:asciiTheme="majorBidi" w:hAnsiTheme="majorBidi" w:cstheme="majorBidi"/>
          <w:b/>
          <w:bCs/>
          <w:sz w:val="24"/>
          <w:szCs w:val="24"/>
        </w:rPr>
        <w:t>Teaching Philosophy</w:t>
      </w:r>
    </w:p>
    <w:p w:rsidR="00325896" w:rsidRDefault="00325896" w:rsidP="00325896">
      <w:pPr>
        <w:spacing w:line="276" w:lineRule="auto"/>
        <w:jc w:val="both"/>
        <w:rPr>
          <w:rFonts w:asciiTheme="majorBidi" w:hAnsiTheme="majorBidi" w:cstheme="majorBidi"/>
          <w:sz w:val="24"/>
          <w:szCs w:val="24"/>
        </w:rPr>
      </w:pPr>
      <w:r w:rsidRPr="00325896">
        <w:rPr>
          <w:rFonts w:asciiTheme="majorBidi" w:hAnsiTheme="majorBidi" w:cstheme="majorBidi"/>
          <w:sz w:val="24"/>
          <w:szCs w:val="24"/>
        </w:rPr>
        <w:t xml:space="preserve">Agricultural economics has always struck me as a working discipline rather than a settled body of theory. Its value is clearest when students learn to use it on real decisions: how a producer prices a product, how a farm business keeps and interprets records, how consumers respond to labels, how a community invests in a regional brand, or how a firm adjusts to a change in trade policy. Each question requires evidence, method, and judgment, but not always the same kind. My own training and research have moved across optimization modeling, econometrics, survey research, and incentivized choice experiments, applied to international trade, </w:t>
      </w:r>
      <w:proofErr w:type="gramStart"/>
      <w:r w:rsidRPr="00325896">
        <w:rPr>
          <w:rFonts w:asciiTheme="majorBidi" w:hAnsiTheme="majorBidi" w:cstheme="majorBidi"/>
          <w:sz w:val="24"/>
          <w:szCs w:val="24"/>
        </w:rPr>
        <w:t>farmers</w:t>
      </w:r>
      <w:proofErr w:type="gramEnd"/>
      <w:r w:rsidRPr="00325896">
        <w:rPr>
          <w:rFonts w:asciiTheme="majorBidi" w:hAnsiTheme="majorBidi" w:cstheme="majorBidi"/>
          <w:sz w:val="24"/>
          <w:szCs w:val="24"/>
        </w:rPr>
        <w:t xml:space="preserve"> markets, value-added dairy, food labeling, and regional food systems. In my teaching, I want students to develop that same practical discipline: identifying what a problem is really asking, choosing an appropriate tool, and using economic reasoning to make informed decisions in agricultural and food markets.</w:t>
      </w:r>
    </w:p>
    <w:p w:rsidR="00560FCC" w:rsidRDefault="00560FCC" w:rsidP="00560FCC">
      <w:pPr>
        <w:spacing w:line="276" w:lineRule="auto"/>
        <w:jc w:val="both"/>
        <w:rPr>
          <w:rFonts w:asciiTheme="majorBidi" w:hAnsiTheme="majorBidi" w:cstheme="majorBidi"/>
          <w:sz w:val="24"/>
          <w:szCs w:val="24"/>
        </w:rPr>
      </w:pPr>
      <w:r w:rsidRPr="00560FCC">
        <w:rPr>
          <w:rFonts w:asciiTheme="majorBidi" w:hAnsiTheme="majorBidi" w:cstheme="majorBidi"/>
          <w:sz w:val="24"/>
          <w:szCs w:val="24"/>
        </w:rPr>
        <w:t>At the University of Kentucky, I taught and supported undergraduate courses in international agriculture and U.S. trade (AEC 309), agribusiness management (AEC 422), and food and agricultural marketing principles (AEC 305). Across these courses</w:t>
      </w:r>
      <w:r>
        <w:rPr>
          <w:rFonts w:asciiTheme="majorBidi" w:hAnsiTheme="majorBidi" w:cstheme="majorBidi"/>
          <w:sz w:val="24"/>
          <w:szCs w:val="24"/>
        </w:rPr>
        <w:t>,</w:t>
      </w:r>
      <w:r w:rsidRPr="00560FCC">
        <w:rPr>
          <w:rFonts w:asciiTheme="majorBidi" w:hAnsiTheme="majorBidi" w:cstheme="majorBidi"/>
          <w:sz w:val="24"/>
          <w:szCs w:val="24"/>
        </w:rPr>
        <w:t xml:space="preserve"> I used the same core structure: technical concepts introduced through real firms, commodities, policies, and market events </w:t>
      </w:r>
      <w:r>
        <w:rPr>
          <w:rFonts w:asciiTheme="majorBidi" w:hAnsiTheme="majorBidi" w:cstheme="majorBidi"/>
          <w:sz w:val="24"/>
          <w:szCs w:val="24"/>
        </w:rPr>
        <w:t xml:space="preserve">that </w:t>
      </w:r>
      <w:r w:rsidRPr="00560FCC">
        <w:rPr>
          <w:rFonts w:asciiTheme="majorBidi" w:hAnsiTheme="majorBidi" w:cstheme="majorBidi"/>
          <w:sz w:val="24"/>
          <w:szCs w:val="24"/>
        </w:rPr>
        <w:t>students could recognize beyond the classroom. In AEC 309, students analyzed a free-trade agreement, examined a current WTO dispute on agricultural products, and compared countries' progress toward global development goals. In AEC 422 and AEC 305, firm cases, commodity price movements, and current market headlines anchored concepts such as pricing, market structure, and trade policy to actual business decisions. The approach trains students to treat theory as a tool for interpreting market conditions, evaluating alternatives, and defending recommendations with evidence.</w:t>
      </w:r>
    </w:p>
    <w:p w:rsidR="00560FCC" w:rsidRDefault="00560FCC" w:rsidP="00560FCC">
      <w:pPr>
        <w:spacing w:line="276" w:lineRule="auto"/>
        <w:jc w:val="both"/>
        <w:rPr>
          <w:rFonts w:asciiTheme="majorBidi" w:hAnsiTheme="majorBidi" w:cstheme="majorBidi"/>
          <w:sz w:val="24"/>
          <w:szCs w:val="24"/>
        </w:rPr>
      </w:pPr>
      <w:r w:rsidRPr="00560FCC">
        <w:rPr>
          <w:rFonts w:asciiTheme="majorBidi" w:hAnsiTheme="majorBidi" w:cstheme="majorBidi"/>
          <w:sz w:val="24"/>
          <w:szCs w:val="24"/>
        </w:rPr>
        <w:t>Experiential teaching, at its best, gives students a reason to take their analysis seriously because the work is directed toward a real problem, a real audience, and a defensible recommendation. As team supervisor for the Food Distribution Research Society Student Food Marketing Challenge, I mentored students developing </w:t>
      </w:r>
      <w:r w:rsidRPr="00560FCC">
        <w:rPr>
          <w:rFonts w:asciiTheme="majorBidi" w:hAnsiTheme="majorBidi" w:cstheme="majorBidi"/>
          <w:i/>
          <w:iCs/>
          <w:sz w:val="24"/>
          <w:szCs w:val="24"/>
        </w:rPr>
        <w:t>Bridging the Local Gap: Local Food Systems Solving Local Food Insecurity</w:t>
      </w:r>
      <w:r w:rsidRPr="00560FCC">
        <w:rPr>
          <w:rFonts w:asciiTheme="majorBidi" w:hAnsiTheme="majorBidi" w:cstheme="majorBidi"/>
          <w:sz w:val="24"/>
          <w:szCs w:val="24"/>
        </w:rPr>
        <w:t>, a marketing strategy connecting regional food systems with food access. The most important outcome was not the final presentation but the shift in how students worked once they understood that their analysis had to speak to producers, food-system stakeholders</w:t>
      </w:r>
      <w:r>
        <w:rPr>
          <w:rFonts w:asciiTheme="majorBidi" w:hAnsiTheme="majorBidi" w:cstheme="majorBidi"/>
          <w:sz w:val="24"/>
          <w:szCs w:val="24"/>
        </w:rPr>
        <w:t>, and community needs. In my</w:t>
      </w:r>
      <w:r w:rsidRPr="00560FCC">
        <w:rPr>
          <w:rFonts w:asciiTheme="majorBidi" w:hAnsiTheme="majorBidi" w:cstheme="majorBidi"/>
          <w:sz w:val="24"/>
          <w:szCs w:val="24"/>
        </w:rPr>
        <w:t xml:space="preserve"> classroom</w:t>
      </w:r>
      <w:r>
        <w:rPr>
          <w:rFonts w:asciiTheme="majorBidi" w:hAnsiTheme="majorBidi" w:cstheme="majorBidi"/>
          <w:sz w:val="24"/>
          <w:szCs w:val="24"/>
        </w:rPr>
        <w:t>,</w:t>
      </w:r>
      <w:r w:rsidRPr="00560FCC">
        <w:rPr>
          <w:rFonts w:asciiTheme="majorBidi" w:hAnsiTheme="majorBidi" w:cstheme="majorBidi"/>
          <w:sz w:val="24"/>
          <w:szCs w:val="24"/>
        </w:rPr>
        <w:t xml:space="preserve"> I build on this through case studies tied to agricultural firms, farm and market data projects, stakeholder briefs, and team presentations where students must defend their recommendations with evidence.</w:t>
      </w:r>
    </w:p>
    <w:p w:rsidR="00560FCC" w:rsidRDefault="00560FCC" w:rsidP="00325896">
      <w:pPr>
        <w:spacing w:line="276" w:lineRule="auto"/>
        <w:jc w:val="both"/>
        <w:rPr>
          <w:rFonts w:asciiTheme="majorBidi" w:hAnsiTheme="majorBidi" w:cstheme="majorBidi"/>
          <w:sz w:val="24"/>
          <w:szCs w:val="24"/>
        </w:rPr>
      </w:pPr>
    </w:p>
    <w:p w:rsidR="00560FCC" w:rsidRPr="00C17934" w:rsidRDefault="00560FCC" w:rsidP="00255F90">
      <w:pPr>
        <w:spacing w:line="276" w:lineRule="auto"/>
        <w:jc w:val="both"/>
        <w:rPr>
          <w:rFonts w:asciiTheme="majorBidi" w:hAnsiTheme="majorBidi" w:cstheme="majorBidi"/>
          <w:sz w:val="24"/>
          <w:szCs w:val="24"/>
        </w:rPr>
      </w:pPr>
      <w:r w:rsidRPr="00560FCC">
        <w:rPr>
          <w:rFonts w:asciiTheme="majorBidi" w:hAnsiTheme="majorBidi" w:cstheme="majorBidi"/>
          <w:sz w:val="24"/>
          <w:szCs w:val="24"/>
        </w:rPr>
        <w:lastRenderedPageBreak/>
        <w:t>Quantitative fluency is part of the same preparation</w:t>
      </w:r>
      <w:r w:rsidR="00C17934" w:rsidRPr="00C17934">
        <w:rPr>
          <w:rFonts w:asciiTheme="majorBidi" w:hAnsiTheme="majorBidi" w:cstheme="majorBidi"/>
          <w:sz w:val="24"/>
          <w:szCs w:val="24"/>
        </w:rPr>
        <w:t xml:space="preserve">. </w:t>
      </w:r>
      <w:r w:rsidRPr="00560FCC">
        <w:rPr>
          <w:rFonts w:asciiTheme="majorBidi" w:hAnsiTheme="majorBidi" w:cstheme="majorBidi"/>
          <w:sz w:val="24"/>
          <w:szCs w:val="24"/>
        </w:rPr>
        <w:t xml:space="preserve">Most questions in agriculture business </w:t>
      </w:r>
      <w:r w:rsidR="00C17934" w:rsidRPr="00C17934">
        <w:rPr>
          <w:rFonts w:asciiTheme="majorBidi" w:hAnsiTheme="majorBidi" w:cstheme="majorBidi"/>
          <w:sz w:val="24"/>
          <w:szCs w:val="24"/>
        </w:rPr>
        <w:t xml:space="preserve">now come with data attached: </w:t>
      </w:r>
      <w:r w:rsidRPr="00560FCC">
        <w:rPr>
          <w:rFonts w:asciiTheme="majorBidi" w:hAnsiTheme="majorBidi" w:cstheme="majorBidi"/>
          <w:sz w:val="24"/>
          <w:szCs w:val="24"/>
        </w:rPr>
        <w:t>farm records, prices, sales data, production costs, trade flows, su</w:t>
      </w:r>
      <w:r>
        <w:rPr>
          <w:rFonts w:asciiTheme="majorBidi" w:hAnsiTheme="majorBidi" w:cstheme="majorBidi"/>
          <w:sz w:val="24"/>
          <w:szCs w:val="24"/>
        </w:rPr>
        <w:t>rvey responses, or consumer trends</w:t>
      </w:r>
      <w:r w:rsidR="00C17934" w:rsidRPr="00C17934">
        <w:rPr>
          <w:rFonts w:asciiTheme="majorBidi" w:hAnsiTheme="majorBidi" w:cstheme="majorBidi"/>
          <w:sz w:val="24"/>
          <w:szCs w:val="24"/>
        </w:rPr>
        <w:t xml:space="preserve">. I want students to become comfortable using data not only to complete an assignment, but to clarify a decision. In my own work, I use Stata, R, and survey platforms such as </w:t>
      </w:r>
      <w:proofErr w:type="spellStart"/>
      <w:r w:rsidR="00C17934" w:rsidRPr="00C17934">
        <w:rPr>
          <w:rFonts w:asciiTheme="majorBidi" w:hAnsiTheme="majorBidi" w:cstheme="majorBidi"/>
          <w:sz w:val="24"/>
          <w:szCs w:val="24"/>
        </w:rPr>
        <w:t>Qualtrics</w:t>
      </w:r>
      <w:proofErr w:type="spellEnd"/>
      <w:r w:rsidR="00C17934" w:rsidRPr="00C17934">
        <w:rPr>
          <w:rFonts w:asciiTheme="majorBidi" w:hAnsiTheme="majorBidi" w:cstheme="majorBidi"/>
          <w:sz w:val="24"/>
          <w:szCs w:val="24"/>
        </w:rPr>
        <w:t xml:space="preserve"> to analyze consumer choice data, estimate econometric models, interpret market patterns, and translate results into tables and figures that non-specialists can understand. I bring that orientation into teaching through small, low-stakes data exercises embedded in regular coursework, such as asking students to interpret a USDA data series, compare price movements across markets, or visualize how a policy or supply-chain event changes a market outcome. By the time students reach a capstone project, internship, or first job interview, software should feel less like a test of technical ability and more like a tool for asking better questions and supporting better decisions.</w:t>
      </w:r>
    </w:p>
    <w:p w:rsidR="00325896" w:rsidRPr="00325896" w:rsidRDefault="00325896" w:rsidP="00325896">
      <w:pPr>
        <w:spacing w:line="276" w:lineRule="auto"/>
        <w:jc w:val="both"/>
        <w:rPr>
          <w:rFonts w:asciiTheme="majorBidi" w:hAnsiTheme="majorBidi" w:cstheme="majorBidi"/>
          <w:sz w:val="24"/>
          <w:szCs w:val="24"/>
        </w:rPr>
      </w:pPr>
      <w:r w:rsidRPr="00325896">
        <w:rPr>
          <w:rFonts w:asciiTheme="majorBidi" w:hAnsiTheme="majorBidi" w:cstheme="majorBidi"/>
          <w:sz w:val="24"/>
          <w:szCs w:val="24"/>
        </w:rPr>
        <w:t>Effective teaching also requires attention to student preparation, course design, and continuous improvement. Agriculture business students often come from different production-oriented and applied backgrounds, including livestock, agronomy, horticulture, agricultural technology, and related areas. I try not to teach to a single “middle.” I use scaffolding, multiple entry points, clear expectations, and examples from more than one agricultural sector so that students can connect business and economic concepts to the systems they know. I also recognize that online, hybrid, and in-person courses require different forms of structure, interaction, and feedback; effective teaching is not simply moving the same lecture into a different format. I treat teaching as iterative and evidence-driven, using student questions, assignment results, peer observation, and course evaluations to revise prompts, examples, rubrics, and course organization.</w:t>
      </w:r>
    </w:p>
    <w:p w:rsidR="00C17934" w:rsidRDefault="00325896" w:rsidP="00255F90">
      <w:pPr>
        <w:spacing w:line="276" w:lineRule="auto"/>
        <w:jc w:val="both"/>
        <w:rPr>
          <w:rFonts w:asciiTheme="majorBidi" w:hAnsiTheme="majorBidi" w:cstheme="majorBidi"/>
          <w:sz w:val="24"/>
          <w:szCs w:val="24"/>
        </w:rPr>
      </w:pPr>
      <w:r w:rsidRPr="00325896">
        <w:rPr>
          <w:rFonts w:asciiTheme="majorBidi" w:hAnsiTheme="majorBidi" w:cstheme="majorBidi"/>
          <w:sz w:val="24"/>
          <w:szCs w:val="24"/>
        </w:rPr>
        <w:t>Eastern Kentucky University’s Department of Agriculture is the kind of setting where</w:t>
      </w:r>
      <w:r w:rsidR="007175BD">
        <w:rPr>
          <w:rFonts w:asciiTheme="majorBidi" w:hAnsiTheme="majorBidi" w:cstheme="majorBidi"/>
          <w:sz w:val="24"/>
          <w:szCs w:val="24"/>
        </w:rPr>
        <w:t xml:space="preserve"> the</w:t>
      </w:r>
      <w:r w:rsidRPr="00325896">
        <w:rPr>
          <w:rFonts w:asciiTheme="majorBidi" w:hAnsiTheme="majorBidi" w:cstheme="majorBidi"/>
          <w:sz w:val="24"/>
          <w:szCs w:val="24"/>
        </w:rPr>
        <w:t xml:space="preserve"> agriculture business education </w:t>
      </w:r>
      <w:r w:rsidR="00255F90" w:rsidRPr="00255F90">
        <w:rPr>
          <w:rFonts w:asciiTheme="majorBidi" w:hAnsiTheme="majorBidi" w:cstheme="majorBidi"/>
          <w:sz w:val="24"/>
          <w:szCs w:val="24"/>
        </w:rPr>
        <w:t>can stay close to production agriculture, student career preparati</w:t>
      </w:r>
      <w:r w:rsidR="00255F90">
        <w:rPr>
          <w:rFonts w:asciiTheme="majorBidi" w:hAnsiTheme="majorBidi" w:cstheme="majorBidi"/>
          <w:sz w:val="24"/>
          <w:szCs w:val="24"/>
        </w:rPr>
        <w:t>on, and applied decision-making</w:t>
      </w:r>
      <w:r w:rsidRPr="00325896">
        <w:rPr>
          <w:rFonts w:asciiTheme="majorBidi" w:hAnsiTheme="majorBidi" w:cstheme="majorBidi"/>
          <w:sz w:val="24"/>
          <w:szCs w:val="24"/>
        </w:rPr>
        <w:t>. The department’s breadth across agribusiness, livestock, agronomy, horticulture, agricultural technology, and related areas would allow me to teach agriculture business as a practical bridge between markets and production systems. This is the kind of teaching I want to do: applied, evidence-based, student-centered, and connected to the agricultural decisions students will encounter in graduate study, industry careers, and the communities they serve.</w:t>
      </w:r>
    </w:p>
    <w:p w:rsidR="00C17934" w:rsidRDefault="00C17934" w:rsidP="0075391E">
      <w:pPr>
        <w:jc w:val="both"/>
        <w:rPr>
          <w:rFonts w:asciiTheme="majorBidi" w:hAnsiTheme="majorBidi" w:cstheme="majorBidi"/>
          <w:sz w:val="24"/>
          <w:szCs w:val="24"/>
        </w:rPr>
      </w:pPr>
    </w:p>
    <w:p w:rsidR="0075391E" w:rsidRDefault="0075391E" w:rsidP="00D00367">
      <w:pPr>
        <w:jc w:val="both"/>
        <w:rPr>
          <w:rFonts w:asciiTheme="majorBidi" w:hAnsiTheme="majorBidi" w:cstheme="majorBidi"/>
          <w:sz w:val="24"/>
          <w:szCs w:val="24"/>
        </w:rPr>
      </w:pPr>
    </w:p>
    <w:p w:rsidR="0075391E" w:rsidRPr="00D00367" w:rsidRDefault="0075391E" w:rsidP="00D00367">
      <w:pPr>
        <w:jc w:val="both"/>
        <w:rPr>
          <w:rFonts w:asciiTheme="majorBidi" w:hAnsiTheme="majorBidi" w:cstheme="majorBidi"/>
          <w:sz w:val="24"/>
          <w:szCs w:val="24"/>
        </w:rPr>
      </w:pPr>
    </w:p>
    <w:p w:rsidR="00D00367" w:rsidRDefault="00D00367" w:rsidP="00034817">
      <w:pPr>
        <w:jc w:val="both"/>
        <w:rPr>
          <w:rFonts w:asciiTheme="majorBidi" w:hAnsiTheme="majorBidi" w:cstheme="majorBidi"/>
          <w:b/>
          <w:bCs/>
          <w:sz w:val="24"/>
          <w:szCs w:val="24"/>
        </w:rPr>
      </w:pPr>
    </w:p>
    <w:p w:rsidR="0065054B" w:rsidRDefault="0065054B">
      <w:bookmarkStart w:id="0" w:name="_GoBack"/>
      <w:bookmarkEnd w:id="0"/>
    </w:p>
    <w:sectPr w:rsidR="0065054B" w:rsidSect="00312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CEA"/>
    <w:rsid w:val="00034817"/>
    <w:rsid w:val="000E16AB"/>
    <w:rsid w:val="00255F90"/>
    <w:rsid w:val="00292BD7"/>
    <w:rsid w:val="00312A79"/>
    <w:rsid w:val="00325896"/>
    <w:rsid w:val="003364D3"/>
    <w:rsid w:val="00353C3D"/>
    <w:rsid w:val="0053078E"/>
    <w:rsid w:val="00532C25"/>
    <w:rsid w:val="00560FCC"/>
    <w:rsid w:val="0056522F"/>
    <w:rsid w:val="005E673C"/>
    <w:rsid w:val="005F7B6F"/>
    <w:rsid w:val="00602879"/>
    <w:rsid w:val="0065054B"/>
    <w:rsid w:val="006718AD"/>
    <w:rsid w:val="007175BD"/>
    <w:rsid w:val="0075391E"/>
    <w:rsid w:val="0078391D"/>
    <w:rsid w:val="0082058F"/>
    <w:rsid w:val="00840428"/>
    <w:rsid w:val="00993F95"/>
    <w:rsid w:val="009943B6"/>
    <w:rsid w:val="009A46A1"/>
    <w:rsid w:val="009C3392"/>
    <w:rsid w:val="00A01A48"/>
    <w:rsid w:val="00C1588E"/>
    <w:rsid w:val="00C17934"/>
    <w:rsid w:val="00D00367"/>
    <w:rsid w:val="00D141D1"/>
    <w:rsid w:val="00D6550E"/>
    <w:rsid w:val="00F10CEA"/>
    <w:rsid w:val="00FB1AD4"/>
    <w:rsid w:val="00FC26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A5C0"/>
  <w15:chartTrackingRefBased/>
  <w15:docId w15:val="{8CA8FE45-219C-4F18-8670-9B6DB0A2C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943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002551">
      <w:bodyDiv w:val="1"/>
      <w:marLeft w:val="0"/>
      <w:marRight w:val="0"/>
      <w:marTop w:val="0"/>
      <w:marBottom w:val="0"/>
      <w:divBdr>
        <w:top w:val="none" w:sz="0" w:space="0" w:color="auto"/>
        <w:left w:val="none" w:sz="0" w:space="0" w:color="auto"/>
        <w:bottom w:val="none" w:sz="0" w:space="0" w:color="auto"/>
        <w:right w:val="none" w:sz="0" w:space="0" w:color="auto"/>
      </w:divBdr>
    </w:div>
    <w:div w:id="844981509">
      <w:bodyDiv w:val="1"/>
      <w:marLeft w:val="0"/>
      <w:marRight w:val="0"/>
      <w:marTop w:val="0"/>
      <w:marBottom w:val="0"/>
      <w:divBdr>
        <w:top w:val="none" w:sz="0" w:space="0" w:color="auto"/>
        <w:left w:val="none" w:sz="0" w:space="0" w:color="auto"/>
        <w:bottom w:val="none" w:sz="0" w:space="0" w:color="auto"/>
        <w:right w:val="none" w:sz="0" w:space="0" w:color="auto"/>
      </w:divBdr>
    </w:div>
    <w:div w:id="1465200704">
      <w:bodyDiv w:val="1"/>
      <w:marLeft w:val="0"/>
      <w:marRight w:val="0"/>
      <w:marTop w:val="0"/>
      <w:marBottom w:val="0"/>
      <w:divBdr>
        <w:top w:val="none" w:sz="0" w:space="0" w:color="auto"/>
        <w:left w:val="none" w:sz="0" w:space="0" w:color="auto"/>
        <w:bottom w:val="none" w:sz="0" w:space="0" w:color="auto"/>
        <w:right w:val="none" w:sz="0" w:space="0" w:color="auto"/>
      </w:divBdr>
    </w:div>
    <w:div w:id="186621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Azita Varziri</dc:creator>
  <cp:keywords/>
  <dc:description/>
  <cp:lastModifiedBy>Azita Varziri</cp:lastModifiedBy>
  <cp:revision>17</cp:revision>
  <dcterms:created xsi:type="dcterms:W3CDTF">2026-04-19T03:15:00Z</dcterms:created>
  <dcterms:modified xsi:type="dcterms:W3CDTF">2026-04-27T03:36:00Z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bf466f19-b71d-4e39-a43c-46c5897d450e</vt:lpwstr>
  </property>
</Properties>
</file>