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2B6BD6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Гудимов А.Л.</w:t>
            </w:r>
          </w:p>
        </w:tc>
      </w:tr>
      <w:tr w:rsidR="000A200E" w:rsidTr="002B6BD6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2B6BD6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2B6BD6" w:rsidTr="002B6BD6">
        <w:tc>
          <w:tcPr>
            <w:tcW w:w="1302" w:type="dxa"/>
            <w:vAlign w:val="center"/>
          </w:tcPr>
          <w:p w:rsidR="002B6BD6" w:rsidRPr="002B6BD6" w:rsidRDefault="002B6BD6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442" w:type="dxa"/>
            <w:vAlign w:val="center"/>
          </w:tcPr>
          <w:p w:rsidR="002B6BD6" w:rsidRPr="002B6BD6" w:rsidRDefault="002B6BD6" w:rsidP="004D6F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20.06.2019</w:t>
            </w:r>
          </w:p>
        </w:tc>
        <w:tc>
          <w:tcPr>
            <w:tcW w:w="5331" w:type="dxa"/>
          </w:tcPr>
          <w:p w:rsidR="002B6BD6" w:rsidRPr="002B6BD6" w:rsidRDefault="002B6BD6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2.2 и 2.3 модифицированы</w:t>
            </w:r>
          </w:p>
        </w:tc>
        <w:tc>
          <w:tcPr>
            <w:tcW w:w="2120" w:type="dxa"/>
            <w:vAlign w:val="center"/>
          </w:tcPr>
          <w:p w:rsidR="002B6BD6" w:rsidRDefault="002B6BD6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1929A9" w:rsidRPr="004D4133" w:rsidTr="002B6BD6">
        <w:tc>
          <w:tcPr>
            <w:tcW w:w="1302" w:type="dxa"/>
            <w:vAlign w:val="center"/>
          </w:tcPr>
          <w:p w:rsidR="001929A9" w:rsidRPr="001929A9" w:rsidRDefault="001929A9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442" w:type="dxa"/>
            <w:vAlign w:val="center"/>
          </w:tcPr>
          <w:p w:rsidR="001929A9" w:rsidRPr="001929A9" w:rsidRDefault="001929A9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05.07.2019</w:t>
            </w:r>
          </w:p>
        </w:tc>
        <w:tc>
          <w:tcPr>
            <w:tcW w:w="5331" w:type="dxa"/>
          </w:tcPr>
          <w:p w:rsidR="001929A9" w:rsidRDefault="001929A9" w:rsidP="00101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 реструктурирован. Добавлен </w:t>
            </w:r>
            <w:r w:rsidR="0010102D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частными случаями распределения.</w:t>
            </w:r>
          </w:p>
        </w:tc>
        <w:tc>
          <w:tcPr>
            <w:tcW w:w="2120" w:type="dxa"/>
            <w:vAlign w:val="center"/>
          </w:tcPr>
          <w:p w:rsidR="001929A9" w:rsidRDefault="001929A9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10102D" w:rsidRPr="0010102D" w:rsidTr="002B6BD6">
        <w:tc>
          <w:tcPr>
            <w:tcW w:w="1302" w:type="dxa"/>
            <w:vAlign w:val="center"/>
          </w:tcPr>
          <w:p w:rsidR="0010102D" w:rsidRPr="0010102D" w:rsidRDefault="0010102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</w:t>
            </w:r>
          </w:p>
        </w:tc>
        <w:tc>
          <w:tcPr>
            <w:tcW w:w="1442" w:type="dxa"/>
            <w:vAlign w:val="center"/>
          </w:tcPr>
          <w:p w:rsidR="0010102D" w:rsidRPr="0010102D" w:rsidRDefault="0010102D" w:rsidP="004D6F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19.07.2019</w:t>
            </w:r>
          </w:p>
        </w:tc>
        <w:tc>
          <w:tcPr>
            <w:tcW w:w="5331" w:type="dxa"/>
          </w:tcPr>
          <w:p w:rsidR="0010102D" w:rsidRPr="0010102D" w:rsidRDefault="0010102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Добавлены формулировки алгоритмов для частных случаев распределения.</w:t>
            </w:r>
          </w:p>
        </w:tc>
        <w:tc>
          <w:tcPr>
            <w:tcW w:w="2120" w:type="dxa"/>
            <w:vAlign w:val="center"/>
          </w:tcPr>
          <w:p w:rsidR="0010102D" w:rsidRDefault="0010102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1929A9" w:rsidTr="002B6BD6">
        <w:tc>
          <w:tcPr>
            <w:tcW w:w="1302" w:type="dxa"/>
            <w:vAlign w:val="center"/>
          </w:tcPr>
          <w:p w:rsidR="001929A9" w:rsidRDefault="001929A9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2" w:type="dxa"/>
            <w:vAlign w:val="center"/>
          </w:tcPr>
          <w:p w:rsidR="001929A9" w:rsidRDefault="001929A9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1" w:type="dxa"/>
          </w:tcPr>
          <w:p w:rsidR="001929A9" w:rsidRDefault="001929A9" w:rsidP="00F24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 абзац</w:t>
            </w:r>
            <w:r w:rsidR="00F2411E">
              <w:rPr>
                <w:rFonts w:ascii="Times New Roman" w:hAnsi="Times New Roman" w:cs="Times New Roman"/>
                <w:sz w:val="24"/>
                <w:szCs w:val="24"/>
              </w:rPr>
              <w:t xml:space="preserve"> о компенсации погрешностей округления в конечном результате.</w:t>
            </w:r>
          </w:p>
        </w:tc>
        <w:tc>
          <w:tcPr>
            <w:tcW w:w="2120" w:type="dxa"/>
            <w:vAlign w:val="center"/>
          </w:tcPr>
          <w:p w:rsidR="001929A9" w:rsidRDefault="00F2411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020F82" w:rsidRDefault="00020F82" w:rsidP="006D00E9">
      <w:pPr>
        <w:rPr>
          <w:rFonts w:ascii="Times New Roman" w:hAnsi="Times New Roman" w:cs="Times New Roman"/>
          <w:sz w:val="24"/>
          <w:szCs w:val="24"/>
        </w:rPr>
      </w:pPr>
    </w:p>
    <w:p w:rsidR="00F81B58" w:rsidRPr="00020F82" w:rsidRDefault="00020F82" w:rsidP="00955A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20F82">
        <w:rPr>
          <w:rFonts w:ascii="Times New Roman" w:hAnsi="Times New Roman" w:cs="Times New Roman"/>
          <w:b/>
          <w:sz w:val="32"/>
          <w:szCs w:val="24"/>
        </w:rPr>
        <w:t>А</w:t>
      </w:r>
      <w:r w:rsidR="002A7C97" w:rsidRPr="00020F82">
        <w:rPr>
          <w:rFonts w:ascii="Times New Roman" w:hAnsi="Times New Roman" w:cs="Times New Roman"/>
          <w:b/>
          <w:sz w:val="32"/>
          <w:szCs w:val="24"/>
        </w:rPr>
        <w:t>лгоритму распределения фактических объемов</w:t>
      </w:r>
      <w:r>
        <w:rPr>
          <w:rFonts w:ascii="Times New Roman" w:hAnsi="Times New Roman" w:cs="Times New Roman"/>
          <w:b/>
          <w:sz w:val="32"/>
          <w:szCs w:val="24"/>
        </w:rPr>
        <w:br/>
        <w:t xml:space="preserve"> </w:t>
      </w:r>
      <w:r w:rsidR="008C3172" w:rsidRPr="00020F82">
        <w:rPr>
          <w:rFonts w:ascii="Times New Roman" w:hAnsi="Times New Roman" w:cs="Times New Roman"/>
          <w:b/>
          <w:sz w:val="32"/>
          <w:szCs w:val="24"/>
        </w:rPr>
        <w:t>реализованного</w:t>
      </w:r>
      <w:r w:rsidR="002A7C97" w:rsidRPr="00020F82">
        <w:rPr>
          <w:rFonts w:ascii="Times New Roman" w:hAnsi="Times New Roman" w:cs="Times New Roman"/>
          <w:b/>
          <w:sz w:val="32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020F82" w:rsidRDefault="00955A2B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t>Термины и определения</w:t>
      </w:r>
    </w:p>
    <w:p w:rsidR="00955A2B" w:rsidRDefault="00F73071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F73071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456429" w:rsidRDefault="00F73071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955A2B" w:rsidRDefault="00F73071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F73071" w:rsidP="005101FA">
      <w:pPr>
        <w:pStyle w:val="a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8E3AD3" w:rsidRDefault="008E3AD3" w:rsidP="005101FA">
      <w:pPr>
        <w:pStyle w:val="a"/>
        <w:numPr>
          <w:ilvl w:val="1"/>
          <w:numId w:val="1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договора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задаются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два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коэффициента </w:t>
      </w:r>
      <w:r>
        <w:rPr>
          <w:rFonts w:ascii="Times New Roman" w:eastAsiaTheme="minorEastAsia" w:hAnsi="Times New Roman" w:cs="Times New Roman"/>
          <w:sz w:val="24"/>
          <w:szCs w:val="24"/>
        </w:rPr>
        <w:t>приоритета:</w:t>
      </w:r>
    </w:p>
    <w:p w:rsidR="002B6BD6" w:rsidRDefault="002B6BD6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F73071" w:rsidP="005101FA">
      <w:pPr>
        <w:pStyle w:val="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E33165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E33165">
        <w:rPr>
          <w:rFonts w:ascii="Times New Roman" w:hAnsi="Times New Roman" w:cs="Times New Roman"/>
          <w:sz w:val="24"/>
          <w:szCs w:val="24"/>
        </w:rPr>
        <w:tab/>
      </w:r>
      <w:r w:rsidR="00E33165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E33165">
        <w:rPr>
          <w:rFonts w:ascii="Times New Roman" w:hAnsi="Times New Roman" w:cs="Times New Roman"/>
          <w:sz w:val="24"/>
          <w:szCs w:val="24"/>
        </w:rPr>
        <w:t xml:space="preserve">по </w:t>
      </w:r>
      <w:r w:rsidR="00020F82">
        <w:rPr>
          <w:rFonts w:ascii="Times New Roman" w:hAnsi="Times New Roman" w:cs="Times New Roman"/>
          <w:sz w:val="24"/>
          <w:szCs w:val="24"/>
        </w:rPr>
        <w:t xml:space="preserve">месячному </w:t>
      </w:r>
      <w:r w:rsidR="00E33165">
        <w:rPr>
          <w:rFonts w:ascii="Times New Roman" w:hAnsi="Times New Roman" w:cs="Times New Roman"/>
          <w:sz w:val="24"/>
          <w:szCs w:val="24"/>
        </w:rPr>
        <w:t xml:space="preserve">недобору </w:t>
      </w:r>
      <w:r w:rsidR="00E33165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E33165">
        <w:rPr>
          <w:rFonts w:ascii="Times New Roman" w:hAnsi="Times New Roman" w:cs="Times New Roman"/>
          <w:sz w:val="24"/>
          <w:szCs w:val="24"/>
        </w:rPr>
        <w:t>а</w:t>
      </w:r>
    </w:p>
    <w:p w:rsidR="008E3AD3" w:rsidRPr="00E33165" w:rsidRDefault="00F73071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</m:oMath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от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2, 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3, </w:t>
      </w:r>
      <w:proofErr w:type="gramStart"/>
      <w:r w:rsidR="002B6BD6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до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955A2B" w:rsidRPr="00955A2B" w:rsidRDefault="00F73071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6E1184">
        <w:rPr>
          <w:rFonts w:ascii="Times New Roman" w:hAnsi="Times New Roman" w:cs="Times New Roman"/>
          <w:sz w:val="24"/>
          <w:szCs w:val="24"/>
        </w:rPr>
        <w:t>(на этом договоре будет максимальный недобор)</w:t>
      </w:r>
    </w:p>
    <w:p w:rsidR="006E1184" w:rsidRDefault="00F73071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  <w:r w:rsidR="006E1184">
        <w:rPr>
          <w:rFonts w:ascii="Times New Roman" w:hAnsi="Times New Roman" w:cs="Times New Roman"/>
          <w:sz w:val="24"/>
          <w:szCs w:val="24"/>
        </w:rPr>
        <w:t>(на этом договоре недобор необходимо минимизировать)</w:t>
      </w:r>
    </w:p>
    <w:p w:rsidR="00E33165" w:rsidRDefault="0055056A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коэффициентов для договоров потребителя может начинаться с любого числа. Наименьшее число – это значение максимального коэффициента.</w:t>
      </w:r>
      <w:r w:rsidR="00E33165">
        <w:rPr>
          <w:rFonts w:ascii="Times New Roman" w:hAnsi="Times New Roman" w:cs="Times New Roman"/>
          <w:sz w:val="24"/>
          <w:szCs w:val="24"/>
        </w:rPr>
        <w:t xml:space="preserve"> И наоборот</w:t>
      </w:r>
      <w:r w:rsidR="00E33165" w:rsidRPr="00E33165">
        <w:rPr>
          <w:rFonts w:ascii="Times New Roman" w:hAnsi="Times New Roman" w:cs="Times New Roman"/>
          <w:sz w:val="24"/>
          <w:szCs w:val="24"/>
        </w:rPr>
        <w:t>:</w:t>
      </w:r>
    </w:p>
    <w:p w:rsidR="00E33165" w:rsidRPr="00E33165" w:rsidRDefault="00F73071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33165" w:rsidRPr="00E3316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33165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нед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нед</m:t>
                      </m:r>
                    </m:sub>
                    <m:sup/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</m:oMath>
      </m:oMathPara>
    </w:p>
    <w:p w:rsidR="00C767C4" w:rsidRPr="00E33165" w:rsidRDefault="0055056A" w:rsidP="00E33165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чем больше коэффициент</w:t>
      </w:r>
      <w:r w:rsidR="00E3316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 тем меньше приоритет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3165" w:rsidRPr="000D285A" w:rsidRDefault="00E33165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F73071" w:rsidP="005101FA">
      <w:pPr>
        <w:pStyle w:val="a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E33165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E33165">
        <w:rPr>
          <w:rFonts w:ascii="Times New Roman" w:hAnsi="Times New Roman" w:cs="Times New Roman"/>
          <w:sz w:val="24"/>
          <w:szCs w:val="24"/>
        </w:rPr>
        <w:tab/>
      </w:r>
      <w:r w:rsidR="00E33165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E33165">
        <w:rPr>
          <w:rFonts w:ascii="Times New Roman" w:hAnsi="Times New Roman" w:cs="Times New Roman"/>
          <w:sz w:val="24"/>
          <w:szCs w:val="24"/>
        </w:rPr>
        <w:t xml:space="preserve"> по </w:t>
      </w:r>
      <w:r w:rsidR="00020F82">
        <w:rPr>
          <w:rFonts w:ascii="Times New Roman" w:hAnsi="Times New Roman" w:cs="Times New Roman"/>
          <w:sz w:val="24"/>
          <w:szCs w:val="24"/>
        </w:rPr>
        <w:t xml:space="preserve">месячному </w:t>
      </w:r>
      <w:r w:rsidR="00E33165">
        <w:rPr>
          <w:rFonts w:ascii="Times New Roman" w:hAnsi="Times New Roman" w:cs="Times New Roman"/>
          <w:sz w:val="24"/>
          <w:szCs w:val="24"/>
        </w:rPr>
        <w:t xml:space="preserve">перебору для </w:t>
      </w:r>
      <w:r w:rsidR="00E33165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E33165">
        <w:rPr>
          <w:rFonts w:ascii="Times New Roman" w:hAnsi="Times New Roman" w:cs="Times New Roman"/>
          <w:sz w:val="24"/>
          <w:szCs w:val="24"/>
        </w:rPr>
        <w:t>а</w:t>
      </w:r>
    </w:p>
    <w:p w:rsidR="002B6BD6" w:rsidRPr="005101FA" w:rsidRDefault="00F73071" w:rsidP="00E33165">
      <w:pPr>
        <w:pStyle w:val="a"/>
        <w:numPr>
          <w:ilvl w:val="0"/>
          <w:numId w:val="0"/>
        </w:numPr>
        <w:spacing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</w:t>
      </w:r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от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2, 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3, </w:t>
      </w:r>
      <w:proofErr w:type="gramStart"/>
      <w:r w:rsidR="002B6BD6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6E1184" w:rsidRPr="00E3316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до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6E1184" w:rsidRPr="005101F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955A2B" w:rsidRPr="00DF1D2D" w:rsidRDefault="00F73071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</w:t>
      </w:r>
      <w:r w:rsidR="006E1184">
        <w:rPr>
          <w:rFonts w:ascii="Times New Roman" w:hAnsi="Times New Roman" w:cs="Times New Roman"/>
          <w:sz w:val="24"/>
          <w:szCs w:val="24"/>
        </w:rPr>
        <w:t xml:space="preserve"> </w:t>
      </w:r>
      <w:r w:rsidR="00DF1D2D" w:rsidRPr="0055056A">
        <w:rPr>
          <w:rFonts w:ascii="Times New Roman" w:hAnsi="Times New Roman" w:cs="Times New Roman"/>
          <w:sz w:val="24"/>
          <w:szCs w:val="24"/>
        </w:rPr>
        <w:t>(</w:t>
      </w:r>
      <w:r w:rsidR="000D285A" w:rsidRPr="0055056A">
        <w:rPr>
          <w:rFonts w:ascii="Times New Roman" w:hAnsi="Times New Roman" w:cs="Times New Roman"/>
          <w:sz w:val="24"/>
          <w:szCs w:val="24"/>
        </w:rPr>
        <w:t xml:space="preserve">на </w:t>
      </w:r>
      <w:r w:rsidR="006E1184" w:rsidRPr="0055056A">
        <w:rPr>
          <w:rFonts w:ascii="Times New Roman" w:hAnsi="Times New Roman" w:cs="Times New Roman"/>
          <w:sz w:val="24"/>
          <w:szCs w:val="24"/>
        </w:rPr>
        <w:t xml:space="preserve">этом </w:t>
      </w:r>
      <w:r w:rsidR="000D285A" w:rsidRPr="0055056A">
        <w:rPr>
          <w:rFonts w:ascii="Times New Roman" w:hAnsi="Times New Roman" w:cs="Times New Roman"/>
          <w:sz w:val="24"/>
          <w:szCs w:val="24"/>
        </w:rPr>
        <w:t xml:space="preserve">договоре будет максимальный </w:t>
      </w:r>
      <w:r w:rsidR="00DF1D2D" w:rsidRPr="0055056A">
        <w:rPr>
          <w:rFonts w:ascii="Times New Roman" w:hAnsi="Times New Roman" w:cs="Times New Roman"/>
          <w:sz w:val="24"/>
          <w:szCs w:val="24"/>
        </w:rPr>
        <w:t>перебор)</w:t>
      </w:r>
    </w:p>
    <w:p w:rsidR="00955A2B" w:rsidRDefault="00F73071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</w:t>
      </w:r>
      <w:r w:rsidR="0055056A">
        <w:rPr>
          <w:rFonts w:ascii="Times New Roman" w:hAnsi="Times New Roman" w:cs="Times New Roman"/>
          <w:sz w:val="24"/>
          <w:szCs w:val="24"/>
        </w:rPr>
        <w:t>(на этом договоре перебор необходимо минимизировать)</w:t>
      </w:r>
    </w:p>
    <w:p w:rsidR="00E33165" w:rsidRDefault="00E33165" w:rsidP="00E33165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коэффициентов для договоров потребителя может начинаться с любого числа. Наименьшее число – это значение максимального коэффициента.</w:t>
      </w:r>
      <w:r w:rsidRPr="00E3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наоборот</w:t>
      </w:r>
      <w:r w:rsidRPr="00E33165">
        <w:rPr>
          <w:rFonts w:ascii="Times New Roman" w:hAnsi="Times New Roman" w:cs="Times New Roman"/>
          <w:sz w:val="24"/>
          <w:szCs w:val="24"/>
        </w:rPr>
        <w:t>:</w:t>
      </w:r>
    </w:p>
    <w:p w:rsidR="00E33165" w:rsidRDefault="00F73071" w:rsidP="00E33165">
      <w:pPr>
        <w:pStyle w:val="a"/>
        <w:numPr>
          <w:ilvl w:val="0"/>
          <w:numId w:val="0"/>
        </w:numPr>
        <w:spacing w:line="240" w:lineRule="auto"/>
        <w:ind w:left="1416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33165" w:rsidRPr="00E33165" w:rsidRDefault="00F73071" w:rsidP="00E33165">
      <w:pPr>
        <w:pStyle w:val="a"/>
        <w:numPr>
          <w:ilvl w:val="0"/>
          <w:numId w:val="0"/>
        </w:numPr>
        <w:spacing w:line="240" w:lineRule="auto"/>
        <w:ind w:left="1416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пер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пер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767C4" w:rsidRPr="00E33165" w:rsidRDefault="00E33165" w:rsidP="00E33165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чем больше ко</w:t>
      </w:r>
      <w:r>
        <w:rPr>
          <w:rFonts w:ascii="Times New Roman" w:eastAsiaTheme="minorEastAsia" w:hAnsi="Times New Roman" w:cs="Times New Roman"/>
          <w:sz w:val="24"/>
          <w:szCs w:val="24"/>
        </w:rPr>
        <w:t>эффициент, тем меньше приоритет.</w:t>
      </w:r>
    </w:p>
    <w:p w:rsidR="000D285A" w:rsidRDefault="000D285A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E33165" w:rsidRDefault="00E33165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0D285A" w:rsidRDefault="000D285A" w:rsidP="005101FA">
      <w:pPr>
        <w:pStyle w:val="a"/>
        <w:numPr>
          <w:ilvl w:val="2"/>
          <w:numId w:val="1"/>
        </w:numPr>
        <w:spacing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приоритетов задаются 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 xml:space="preserve">либо </w:t>
      </w:r>
      <w:r>
        <w:rPr>
          <w:rFonts w:ascii="Times New Roman" w:eastAsiaTheme="minorEastAsia" w:hAnsi="Times New Roman" w:cs="Times New Roman"/>
          <w:sz w:val="24"/>
          <w:szCs w:val="24"/>
        </w:rPr>
        <w:t>явно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вкладке «Свойства» договора</w:t>
      </w:r>
      <w:r w:rsidR="0055056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либо неявно, на основании поля «Вид цены» из вкладки «Цены». Явное задание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имеет приоритет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перед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неявным.</w:t>
      </w:r>
    </w:p>
    <w:p w:rsidR="0055056A" w:rsidRDefault="0055056A" w:rsidP="0055056A">
      <w:pPr>
        <w:pStyle w:val="a"/>
        <w:numPr>
          <w:ilvl w:val="0"/>
          <w:numId w:val="0"/>
        </w:numPr>
        <w:spacing w:line="240" w:lineRule="auto"/>
        <w:ind w:left="708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186" w:rsidRDefault="00684186" w:rsidP="000D285A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Правила неявного задания коэффициентов: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Перечисление.Прейскуранты.Коммерческий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0D285A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Перечисление.Прейскуранты.ЭТП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Перечисление.Прейскуранты.ОбщийПФ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Перечисление.Прейскуранты.ОбщийПС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F73071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84186" w:rsidRPr="00684186" w:rsidRDefault="00684186" w:rsidP="00684186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14140" w:rsidRDefault="00F73071" w:rsidP="008E69C7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</w:t>
      </w:r>
      <w:r w:rsidR="004D3390" w:rsidRPr="00955A2B">
        <w:rPr>
          <w:rFonts w:ascii="Times New Roman" w:hAnsi="Times New Roman" w:cs="Times New Roman"/>
          <w:sz w:val="24"/>
          <w:szCs w:val="24"/>
        </w:rPr>
        <w:t>по договору</w:t>
      </w:r>
      <w:r w:rsidR="005101FA" w:rsidRPr="005101FA">
        <w:rPr>
          <w:rFonts w:ascii="Times New Roman" w:hAnsi="Times New Roman" w:cs="Times New Roman"/>
          <w:sz w:val="24"/>
          <w:szCs w:val="24"/>
        </w:rPr>
        <w:t xml:space="preserve">. </w:t>
      </w:r>
      <w:r w:rsidR="005101FA">
        <w:rPr>
          <w:rFonts w:ascii="Times New Roman" w:hAnsi="Times New Roman" w:cs="Times New Roman"/>
          <w:sz w:val="24"/>
          <w:szCs w:val="24"/>
        </w:rPr>
        <w:t xml:space="preserve">Вычисляется как наименьшее значение коэффициентов площадок договора. Стандартно площадка имеет коэффициент 1,1. Если на площадке вводится диспетчерский график, то по ней коэффициент становится равен 1,0. </w:t>
      </w:r>
      <w:r w:rsidR="008E69C7">
        <w:rPr>
          <w:rFonts w:ascii="Times New Roman" w:hAnsi="Times New Roman" w:cs="Times New Roman"/>
          <w:sz w:val="24"/>
          <w:szCs w:val="24"/>
        </w:rPr>
        <w:t>Договор, содержащий соответствующую площадку тоже получает коэффициент 1,0.</w:t>
      </w:r>
    </w:p>
    <w:p w:rsidR="007C0F82" w:rsidRDefault="00F73071" w:rsidP="008E69C7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515193" w:rsidRPr="00515193">
        <w:rPr>
          <w:rFonts w:ascii="Times New Roman" w:hAnsi="Times New Roman" w:cs="Times New Roman"/>
          <w:sz w:val="24"/>
          <w:szCs w:val="24"/>
        </w:rPr>
        <w:t xml:space="preserve"> - </w:t>
      </w:r>
      <w:r w:rsidR="007C0F82">
        <w:rPr>
          <w:rFonts w:ascii="Times New Roman" w:hAnsi="Times New Roman" w:cs="Times New Roman"/>
          <w:sz w:val="24"/>
          <w:szCs w:val="24"/>
        </w:rPr>
        <w:t>«Корректоры»</w:t>
      </w:r>
      <w:r w:rsidR="00D969EA">
        <w:rPr>
          <w:rFonts w:ascii="Times New Roman" w:hAnsi="Times New Roman" w:cs="Times New Roman"/>
          <w:sz w:val="24"/>
          <w:szCs w:val="24"/>
        </w:rPr>
        <w:t xml:space="preserve"> - р</w:t>
      </w:r>
      <w:r w:rsidR="007C0F82">
        <w:rPr>
          <w:rFonts w:ascii="Times New Roman" w:hAnsi="Times New Roman" w:cs="Times New Roman"/>
          <w:sz w:val="24"/>
          <w:szCs w:val="24"/>
        </w:rPr>
        <w:t>азница между планом и фактом по площадке</w:t>
      </w:r>
      <w:r w:rsidR="00D969EA">
        <w:rPr>
          <w:rFonts w:ascii="Times New Roman" w:hAnsi="Times New Roman" w:cs="Times New Roman"/>
          <w:sz w:val="24"/>
          <w:szCs w:val="24"/>
        </w:rPr>
        <w:t xml:space="preserve"> </w:t>
      </w:r>
      <w:r w:rsidR="00D969EA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D969EA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D969EA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7C0F82">
        <w:rPr>
          <w:rFonts w:ascii="Times New Roman" w:hAnsi="Times New Roman" w:cs="Times New Roman"/>
          <w:sz w:val="24"/>
          <w:szCs w:val="24"/>
        </w:rPr>
        <w:t>, не участвующей в распределении.</w:t>
      </w:r>
      <w:r w:rsidR="00515193">
        <w:rPr>
          <w:rFonts w:ascii="Times New Roman" w:hAnsi="Times New Roman" w:cs="Times New Roman"/>
          <w:sz w:val="24"/>
          <w:szCs w:val="24"/>
        </w:rPr>
        <w:t xml:space="preserve"> Может быть отрицательным. В последующем это значение повлияет на суммарный план по договору и суммарный план</w:t>
      </w:r>
      <w:r w:rsidR="00D969EA" w:rsidRPr="00D969EA">
        <w:rPr>
          <w:rFonts w:ascii="Times New Roman" w:hAnsi="Times New Roman" w:cs="Times New Roman"/>
          <w:sz w:val="24"/>
          <w:szCs w:val="24"/>
        </w:rPr>
        <w:t xml:space="preserve"> </w:t>
      </w:r>
      <w:r w:rsidR="00D969EA">
        <w:rPr>
          <w:rFonts w:ascii="Times New Roman" w:hAnsi="Times New Roman" w:cs="Times New Roman"/>
          <w:sz w:val="24"/>
          <w:szCs w:val="24"/>
        </w:rPr>
        <w:t>с коридором</w:t>
      </w:r>
      <w:r w:rsidR="00515193">
        <w:rPr>
          <w:rFonts w:ascii="Times New Roman" w:hAnsi="Times New Roman" w:cs="Times New Roman"/>
          <w:sz w:val="24"/>
          <w:szCs w:val="24"/>
        </w:rPr>
        <w:t xml:space="preserve"> по договору, которые</w:t>
      </w:r>
      <w:r w:rsidR="00D969EA">
        <w:rPr>
          <w:rFonts w:ascii="Times New Roman" w:hAnsi="Times New Roman" w:cs="Times New Roman"/>
          <w:sz w:val="24"/>
          <w:szCs w:val="24"/>
        </w:rPr>
        <w:t xml:space="preserve"> будут являться исходными данными к распределению.</w:t>
      </w:r>
    </w:p>
    <w:p w:rsidR="00103D76" w:rsidRDefault="00103D76">
      <w:pPr>
        <w:rPr>
          <w:rFonts w:ascii="Times New Roman" w:hAnsi="Times New Roman" w:cs="Times New Roman"/>
          <w:sz w:val="24"/>
          <w:szCs w:val="24"/>
        </w:rPr>
      </w:pPr>
    </w:p>
    <w:p w:rsidR="00103D76" w:rsidRDefault="00103D76">
      <w:pPr>
        <w:rPr>
          <w:rFonts w:ascii="Times New Roman" w:hAnsi="Times New Roman" w:cs="Times New Roman"/>
          <w:sz w:val="24"/>
          <w:szCs w:val="24"/>
        </w:rPr>
        <w:sectPr w:rsidR="00103D76" w:rsidSect="00955A2B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10102D" w:rsidRDefault="0010102D" w:rsidP="008E69C7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Возможные случаи комбинации площадок, подлежащих и не подлежащих распределению, договоров, значений плана.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76"/>
        <w:gridCol w:w="3819"/>
        <w:gridCol w:w="1851"/>
        <w:gridCol w:w="1320"/>
        <w:gridCol w:w="1501"/>
        <w:gridCol w:w="5493"/>
      </w:tblGrid>
      <w:tr w:rsidR="00C860EB" w:rsidRPr="0010102D" w:rsidTr="00D969EA">
        <w:trPr>
          <w:cantSplit/>
        </w:trPr>
        <w:tc>
          <w:tcPr>
            <w:tcW w:w="0" w:type="auto"/>
          </w:tcPr>
          <w:p w:rsidR="000E1249" w:rsidRPr="0010102D" w:rsidRDefault="000E1249" w:rsidP="00103D76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9" w:type="dxa"/>
          </w:tcPr>
          <w:p w:rsidR="000E1249" w:rsidRPr="0010102D" w:rsidRDefault="000E1249" w:rsidP="00103D76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D">
              <w:rPr>
                <w:rFonts w:ascii="Times New Roman" w:hAnsi="Times New Roman" w:cs="Times New Roman"/>
                <w:b/>
                <w:sz w:val="24"/>
                <w:szCs w:val="24"/>
              </w:rPr>
              <w:t>Случай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исходных данных</w:t>
            </w:r>
          </w:p>
        </w:tc>
        <w:tc>
          <w:tcPr>
            <w:tcW w:w="1851" w:type="dxa"/>
          </w:tcPr>
          <w:p w:rsidR="000E1249" w:rsidRPr="0010102D" w:rsidRDefault="000E1249" w:rsidP="00103D76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D">
              <w:rPr>
                <w:rFonts w:ascii="Times New Roman" w:hAnsi="Times New Roman" w:cs="Times New Roman"/>
                <w:b/>
                <w:sz w:val="24"/>
                <w:szCs w:val="24"/>
              </w:rPr>
              <w:t>Кол-во площадок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Для распр./Не для распр.</w:t>
            </w:r>
          </w:p>
        </w:tc>
        <w:tc>
          <w:tcPr>
            <w:tcW w:w="1320" w:type="dxa"/>
          </w:tcPr>
          <w:p w:rsidR="000E1249" w:rsidRPr="0010102D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D">
              <w:rPr>
                <w:rFonts w:ascii="Times New Roman" w:hAnsi="Times New Roman" w:cs="Times New Roman"/>
                <w:b/>
                <w:sz w:val="24"/>
                <w:szCs w:val="24"/>
              </w:rPr>
              <w:t>Кол-во договоров</w:t>
            </w:r>
          </w:p>
        </w:tc>
        <w:tc>
          <w:tcPr>
            <w:tcW w:w="1501" w:type="dxa"/>
          </w:tcPr>
          <w:p w:rsidR="000E1249" w:rsidRPr="0010102D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2D">
              <w:rPr>
                <w:rFonts w:ascii="Times New Roman" w:hAnsi="Times New Roman" w:cs="Times New Roman"/>
                <w:b/>
                <w:sz w:val="24"/>
                <w:szCs w:val="24"/>
              </w:rPr>
              <w:t>Наличие плана</w:t>
            </w:r>
          </w:p>
        </w:tc>
        <w:tc>
          <w:tcPr>
            <w:tcW w:w="5493" w:type="dxa"/>
          </w:tcPr>
          <w:p w:rsidR="000E1249" w:rsidRPr="0010102D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0102D">
              <w:rPr>
                <w:rFonts w:ascii="Times New Roman" w:hAnsi="Times New Roman" w:cs="Times New Roman"/>
                <w:b/>
                <w:sz w:val="24"/>
                <w:szCs w:val="24"/>
              </w:rPr>
              <w:t>собенности решения</w:t>
            </w:r>
          </w:p>
        </w:tc>
      </w:tr>
      <w:tr w:rsidR="00C860EB" w:rsidTr="00D969EA">
        <w:trPr>
          <w:cantSplit/>
        </w:trPr>
        <w:tc>
          <w:tcPr>
            <w:tcW w:w="0" w:type="auto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491" w:type="dxa"/>
            <w:gridSpan w:val="4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Случаи с одной общей площадкой</w:t>
            </w:r>
            <w:r w:rsidR="000452D3"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93" w:type="dxa"/>
            <w:vAlign w:val="center"/>
          </w:tcPr>
          <w:p w:rsidR="00C860EB" w:rsidRDefault="00C860EB" w:rsidP="00752B8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по общему алгоритму либо отказ от распределения.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0E1249" w:rsidRDefault="00C860EB" w:rsidP="004B268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19" w:type="dxa"/>
          </w:tcPr>
          <w:p w:rsidR="000E1249" w:rsidRDefault="000E1249" w:rsidP="004B268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площадка на 2 и более договоров, в которых нет иных площадок. Везде есть план.</w:t>
            </w:r>
          </w:p>
        </w:tc>
        <w:tc>
          <w:tcPr>
            <w:tcW w:w="1851" w:type="dxa"/>
            <w:vAlign w:val="center"/>
          </w:tcPr>
          <w:p w:rsidR="000E1249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1320" w:type="dxa"/>
            <w:vAlign w:val="center"/>
          </w:tcPr>
          <w:p w:rsidR="000E1249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tc>
          <w:tcPr>
            <w:tcW w:w="1501" w:type="dxa"/>
            <w:vAlign w:val="center"/>
          </w:tcPr>
          <w:p w:rsidR="000E1249" w:rsidRDefault="000E1249" w:rsidP="0010102D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везде</w:t>
            </w:r>
            <w:r w:rsidR="00752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3" w:type="dxa"/>
          </w:tcPr>
          <w:p w:rsidR="000E1249" w:rsidRDefault="000E1249" w:rsidP="00103D7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по общему алгоритму (по разделам 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и 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0E1249" w:rsidRDefault="00C860EB" w:rsidP="004B268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819" w:type="dxa"/>
          </w:tcPr>
          <w:p w:rsidR="000E1249" w:rsidRDefault="000E1249" w:rsidP="004B268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Площадка присутствует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договорах, 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договорах без плана.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1" w:type="dxa"/>
            <w:vAlign w:val="center"/>
          </w:tcPr>
          <w:p w:rsidR="000E1249" w:rsidRDefault="000E1249" w:rsidP="00083098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1320" w:type="dxa"/>
            <w:vAlign w:val="center"/>
          </w:tcPr>
          <w:p w:rsidR="000E1249" w:rsidRPr="000E1249" w:rsidRDefault="000E1249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01" w:type="dxa"/>
            <w:vAlign w:val="center"/>
          </w:tcPr>
          <w:p w:rsidR="000E1249" w:rsidRDefault="000E1249" w:rsidP="000E1249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 нет плана</w:t>
            </w:r>
            <w:r w:rsidR="00752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3" w:type="dxa"/>
          </w:tcPr>
          <w:p w:rsidR="000E1249" w:rsidRDefault="000E1249" w:rsidP="00083098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не осуществляется. Весь факт площадки относится на тот договор, где есть план. 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0E1249" w:rsidRDefault="00C860EB" w:rsidP="000E124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819" w:type="dxa"/>
          </w:tcPr>
          <w:p w:rsidR="000E1249" w:rsidRPr="000E1249" w:rsidRDefault="000E1249" w:rsidP="000E124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Площадка присутствует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договорах, 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договорах без плана.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1851" w:type="dxa"/>
            <w:vAlign w:val="center"/>
          </w:tcPr>
          <w:p w:rsidR="000E1249" w:rsidRDefault="000E1249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1320" w:type="dxa"/>
            <w:vAlign w:val="center"/>
          </w:tcPr>
          <w:p w:rsidR="000E1249" w:rsidRPr="000E1249" w:rsidRDefault="000E1249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01" w:type="dxa"/>
            <w:vAlign w:val="center"/>
          </w:tcPr>
          <w:p w:rsidR="000E1249" w:rsidRDefault="000E1249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 нет плана</w:t>
            </w:r>
            <w:r w:rsidR="00752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3" w:type="dxa"/>
          </w:tcPr>
          <w:p w:rsidR="000E1249" w:rsidRPr="000E1249" w:rsidRDefault="000E1249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осуществляется между теми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договорами, где есть план. Общий алгоритм.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0E1249" w:rsidRDefault="00C860EB" w:rsidP="000E124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819" w:type="dxa"/>
          </w:tcPr>
          <w:p w:rsidR="000E1249" w:rsidRDefault="000E1249" w:rsidP="000E124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Площадка присутствует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договорах, 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договорах без плана.</w:t>
            </w:r>
            <w:r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1" w:type="dxa"/>
            <w:vAlign w:val="center"/>
          </w:tcPr>
          <w:p w:rsidR="000E1249" w:rsidRDefault="000E1249" w:rsidP="004B2683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1/0</w:t>
            </w:r>
          </w:p>
        </w:tc>
        <w:tc>
          <w:tcPr>
            <w:tcW w:w="1320" w:type="dxa"/>
            <w:vAlign w:val="center"/>
          </w:tcPr>
          <w:p w:rsidR="000E1249" w:rsidRPr="000E1249" w:rsidRDefault="000E1249" w:rsidP="004B2683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01" w:type="dxa"/>
            <w:vAlign w:val="center"/>
          </w:tcPr>
          <w:p w:rsidR="000E1249" w:rsidRDefault="000E1249" w:rsidP="004B2683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всех договорах нет плана</w:t>
            </w:r>
            <w:r w:rsidR="00752B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93" w:type="dxa"/>
          </w:tcPr>
          <w:p w:rsidR="000E1249" w:rsidRPr="000E1249" w:rsidRDefault="000E1249" w:rsidP="00103D76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Распределение не осуществляется. Весь факт относится на договор с минимальным приоритетом по перебору.</w:t>
            </w:r>
            <w:r w:rsidR="008F5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0AD" w:rsidRPr="008F50A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(Это верно?)</w:t>
            </w:r>
          </w:p>
        </w:tc>
      </w:tr>
      <w:tr w:rsidR="00C860EB" w:rsidTr="00D969EA">
        <w:trPr>
          <w:cantSplit/>
        </w:trPr>
        <w:tc>
          <w:tcPr>
            <w:tcW w:w="0" w:type="auto"/>
            <w:vAlign w:val="center"/>
          </w:tcPr>
          <w:p w:rsidR="00C860EB" w:rsidRDefault="00AE42D0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91" w:type="dxa"/>
            <w:gridSpan w:val="4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Случаи с </w:t>
            </w:r>
            <w:r w:rsidR="00AE42D0">
              <w:rPr>
                <w:rFonts w:ascii="Times New Roman" w:hAnsi="Times New Roman" w:cs="Times New Roman"/>
                <w:sz w:val="24"/>
                <w:szCs w:val="24"/>
              </w:rPr>
              <w:t>более чем одной общей площадкой:</w:t>
            </w:r>
          </w:p>
        </w:tc>
        <w:tc>
          <w:tcPr>
            <w:tcW w:w="5493" w:type="dxa"/>
            <w:vAlign w:val="center"/>
          </w:tcPr>
          <w:p w:rsidR="00C860EB" w:rsidRDefault="007C0F82" w:rsidP="007C0F8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 xml:space="preserve"> суммарным данным 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 xml:space="preserve">, распределение по общему алгоритму, возврат к данным </w:t>
            </w:r>
            <w:bookmarkStart w:id="0" w:name="_GoBack"/>
            <w:bookmarkEnd w:id="0"/>
            <w:r w:rsidR="00C860EB">
              <w:rPr>
                <w:rFonts w:ascii="Times New Roman" w:hAnsi="Times New Roman" w:cs="Times New Roman"/>
                <w:sz w:val="24"/>
                <w:szCs w:val="24"/>
              </w:rPr>
              <w:t>по площадкам пропорционально изначальному факту площадок.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C860EB" w:rsidRDefault="00AE42D0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19" w:type="dxa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 и более общих площадки в 2-х и более договорах. Везде есть план.</w:t>
            </w:r>
          </w:p>
        </w:tc>
        <w:tc>
          <w:tcPr>
            <w:tcW w:w="1851" w:type="dxa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2+/0</w:t>
            </w:r>
          </w:p>
        </w:tc>
        <w:tc>
          <w:tcPr>
            <w:tcW w:w="1320" w:type="dxa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tc>
          <w:tcPr>
            <w:tcW w:w="1501" w:type="dxa"/>
            <w:vAlign w:val="center"/>
          </w:tcPr>
          <w:p w:rsidR="00C860EB" w:rsidRDefault="00C860EB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везде</w:t>
            </w:r>
          </w:p>
        </w:tc>
        <w:tc>
          <w:tcPr>
            <w:tcW w:w="5493" w:type="dxa"/>
          </w:tcPr>
          <w:p w:rsidR="00C860EB" w:rsidRDefault="007C0F82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простым суммарным данным по договорам, распределение по общему алгоритму, возврат к данным по площадкам пропорционально изначальному факту площадок</w:t>
            </w:r>
            <w:r w:rsidR="008B07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E42D0" w:rsidTr="009D1E4E">
        <w:trPr>
          <w:cantSplit/>
        </w:trPr>
        <w:tc>
          <w:tcPr>
            <w:tcW w:w="0" w:type="auto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491" w:type="dxa"/>
            <w:gridSpan w:val="4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Случаи общими площадками и наличием площадок, не подлежащих распределению:</w:t>
            </w:r>
          </w:p>
        </w:tc>
        <w:tc>
          <w:tcPr>
            <w:tcW w:w="5493" w:type="dxa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площадке, не участвующей в распределении, высчитываются «корректоры». Затем рассчитываем суммарные планы по договорам, с учетом влияния «корректоров» и суммарные факты по договорам за вычетом фактов, не участвующих в распределении. Распределяем по общему алгоритму. Возврат к данным по площадкам осуществляется в зависимости от исходных условий.</w:t>
            </w:r>
          </w:p>
        </w:tc>
      </w:tr>
      <w:tr w:rsidR="00AE42D0" w:rsidTr="009D1E4E">
        <w:trPr>
          <w:cantSplit/>
        </w:trPr>
        <w:tc>
          <w:tcPr>
            <w:tcW w:w="0" w:type="auto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819" w:type="dxa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Одна площадка на 2 и более договоров. Присутствуют площадки, не участвующие в распределении. Везде есть план. (Усложнение случая 1.1.)</w:t>
            </w:r>
          </w:p>
        </w:tc>
        <w:tc>
          <w:tcPr>
            <w:tcW w:w="1851" w:type="dxa"/>
            <w:vAlign w:val="center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1/1+</w:t>
            </w:r>
          </w:p>
        </w:tc>
        <w:tc>
          <w:tcPr>
            <w:tcW w:w="1320" w:type="dxa"/>
            <w:vAlign w:val="center"/>
          </w:tcPr>
          <w:p w:rsidR="00AE42D0" w:rsidRPr="008B07E5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tc>
          <w:tcPr>
            <w:tcW w:w="1501" w:type="dxa"/>
            <w:vAlign w:val="center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везде.</w:t>
            </w:r>
          </w:p>
        </w:tc>
        <w:tc>
          <w:tcPr>
            <w:tcW w:w="5493" w:type="dxa"/>
          </w:tcPr>
          <w:p w:rsidR="00AE42D0" w:rsidRDefault="00AE42D0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по п.3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Возврат к данным по площадке осуществляется простым копированием высчитанного факта в соответствующие договора и площадку.</w:t>
            </w:r>
          </w:p>
        </w:tc>
      </w:tr>
      <w:tr w:rsidR="00AE42D0" w:rsidTr="009D1E4E">
        <w:trPr>
          <w:cantSplit/>
        </w:trPr>
        <w:tc>
          <w:tcPr>
            <w:tcW w:w="0" w:type="auto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819" w:type="dxa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 и более общих площадки в 2-х и более договорах. Присутствуют площадки, не участвующие в распределении. Везде есть план. (Усложнение случая 2.1.)</w:t>
            </w:r>
          </w:p>
        </w:tc>
        <w:tc>
          <w:tcPr>
            <w:tcW w:w="1851" w:type="dxa"/>
            <w:vAlign w:val="center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2+/1+</w:t>
            </w:r>
          </w:p>
        </w:tc>
        <w:tc>
          <w:tcPr>
            <w:tcW w:w="1320" w:type="dxa"/>
            <w:vAlign w:val="center"/>
          </w:tcPr>
          <w:p w:rsidR="00AE42D0" w:rsidRPr="008B07E5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tc>
          <w:tcPr>
            <w:tcW w:w="1501" w:type="dxa"/>
            <w:vAlign w:val="center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везде.</w:t>
            </w:r>
          </w:p>
        </w:tc>
        <w:tc>
          <w:tcPr>
            <w:tcW w:w="5493" w:type="dxa"/>
          </w:tcPr>
          <w:p w:rsidR="00AE42D0" w:rsidRDefault="00AE42D0" w:rsidP="009D1E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по п.3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 xml:space="preserve">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Возврат к данным по площадке осуществляется пропорциональным разнесением факта в соответствующие договора и площадку.</w:t>
            </w:r>
          </w:p>
        </w:tc>
      </w:tr>
      <w:tr w:rsidR="00AE42D0" w:rsidTr="00745910">
        <w:trPr>
          <w:cantSplit/>
        </w:trPr>
        <w:tc>
          <w:tcPr>
            <w:tcW w:w="0" w:type="auto"/>
          </w:tcPr>
          <w:p w:rsidR="00AE42D0" w:rsidRDefault="00AE42D0" w:rsidP="00C860EB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1" w:type="dxa"/>
            <w:gridSpan w:val="4"/>
          </w:tcPr>
          <w:p w:rsidR="00AE42D0" w:rsidRDefault="00AE42D0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Случаи с более чем одной общей площадкой и нулевыми планами по общим площадкам:</w:t>
            </w:r>
          </w:p>
        </w:tc>
        <w:tc>
          <w:tcPr>
            <w:tcW w:w="5493" w:type="dxa"/>
          </w:tcPr>
          <w:p w:rsidR="00AE42D0" w:rsidRDefault="00AE42D0" w:rsidP="0087630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Площадка с нулевым планом исключается из распределения полностью либо частично и случаи из 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>п.4 таблицы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общем виде приводятся к случаям из п.3 таблицы.</w:t>
            </w:r>
          </w:p>
        </w:tc>
      </w:tr>
      <w:tr w:rsidR="00C860EB" w:rsidTr="00D969EA">
        <w:trPr>
          <w:cantSplit/>
        </w:trPr>
        <w:tc>
          <w:tcPr>
            <w:tcW w:w="0" w:type="auto"/>
          </w:tcPr>
          <w:p w:rsidR="00C860EB" w:rsidRDefault="00AE42D0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C0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0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19" w:type="dxa"/>
          </w:tcPr>
          <w:p w:rsidR="00C860EB" w:rsidRDefault="007C0F82" w:rsidP="0087630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Две и более общих площадки в 2-х и более договорах. </w:t>
            </w:r>
            <w:r w:rsidR="00AE42D0">
              <w:rPr>
                <w:rFonts w:ascii="Times New Roman" w:hAnsi="Times New Roman" w:cs="Times New Roman"/>
                <w:sz w:val="24"/>
                <w:szCs w:val="24"/>
              </w:rPr>
              <w:t xml:space="preserve">Присутствуют площадки, не участвующие в распределении. 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Несколько</w:t>
            </w:r>
            <w:r w:rsidR="00AE42D0">
              <w:rPr>
                <w:rFonts w:ascii="Times New Roman" w:hAnsi="Times New Roman" w:cs="Times New Roman"/>
                <w:sz w:val="24"/>
                <w:szCs w:val="24"/>
              </w:rPr>
              <w:t xml:space="preserve"> общих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 xml:space="preserve"> площадок присутствуют в </w:t>
            </w:r>
            <w:r w:rsidR="00D96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 xml:space="preserve"> договорах, но каждая в </w:t>
            </w:r>
            <w:r w:rsidR="00D96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D969EA"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договорах без плана. (Далее - особые площадки)</w:t>
            </w:r>
            <w:r w:rsidR="00D969EA" w:rsidRPr="000E1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Для каждой</w:t>
            </w:r>
            <w:r w:rsidR="000452D3">
              <w:rPr>
                <w:rFonts w:ascii="Times New Roman" w:hAnsi="Times New Roman" w:cs="Times New Roman"/>
                <w:sz w:val="24"/>
                <w:szCs w:val="24"/>
              </w:rPr>
              <w:t xml:space="preserve"> особой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 xml:space="preserve"> площадки </w:t>
            </w:r>
            <w:r w:rsidR="00D96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969EA" w:rsidRPr="000E124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6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969EA" w:rsidRPr="000E12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E42D0">
              <w:rPr>
                <w:rFonts w:ascii="Times New Roman" w:hAnsi="Times New Roman" w:cs="Times New Roman"/>
                <w:sz w:val="24"/>
                <w:szCs w:val="24"/>
              </w:rPr>
              <w:t xml:space="preserve">Объединение и усложнение 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случа</w:t>
            </w:r>
            <w:r w:rsidR="00AE42D0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 xml:space="preserve">3.2. и </w:t>
            </w:r>
            <w:r w:rsidR="00D969EA">
              <w:rPr>
                <w:rFonts w:ascii="Times New Roman" w:hAnsi="Times New Roman" w:cs="Times New Roman"/>
                <w:sz w:val="24"/>
                <w:szCs w:val="24"/>
              </w:rPr>
              <w:t>1.3.)</w:t>
            </w:r>
          </w:p>
        </w:tc>
        <w:tc>
          <w:tcPr>
            <w:tcW w:w="1851" w:type="dxa"/>
            <w:vAlign w:val="center"/>
          </w:tcPr>
          <w:p w:rsidR="00C860EB" w:rsidRDefault="007C0F82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2+/Х</w:t>
            </w:r>
          </w:p>
        </w:tc>
        <w:tc>
          <w:tcPr>
            <w:tcW w:w="1320" w:type="dxa"/>
            <w:vAlign w:val="center"/>
          </w:tcPr>
          <w:p w:rsidR="00C860EB" w:rsidRPr="00AE42D0" w:rsidRDefault="00D969EA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E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01" w:type="dxa"/>
            <w:vAlign w:val="center"/>
          </w:tcPr>
          <w:p w:rsidR="00C860EB" w:rsidRPr="00D969EA" w:rsidRDefault="00D969EA" w:rsidP="00D969EA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особых площадок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D96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договорах нет плана.</w:t>
            </w:r>
          </w:p>
        </w:tc>
        <w:tc>
          <w:tcPr>
            <w:tcW w:w="5493" w:type="dxa"/>
          </w:tcPr>
          <w:p w:rsidR="00C860EB" w:rsidRDefault="00D969EA" w:rsidP="0087630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Отнесение факта особых площадок на те договора, где есть план. </w:t>
            </w:r>
            <w:r w:rsidR="00876309">
              <w:rPr>
                <w:rFonts w:ascii="Times New Roman" w:hAnsi="Times New Roman" w:cs="Times New Roman"/>
                <w:sz w:val="24"/>
                <w:szCs w:val="24"/>
              </w:rPr>
              <w:t>Далее решение по п. 3.2 таблицы.</w:t>
            </w:r>
          </w:p>
        </w:tc>
      </w:tr>
      <w:tr w:rsidR="00876309" w:rsidTr="00D969EA">
        <w:trPr>
          <w:cantSplit/>
        </w:trPr>
        <w:tc>
          <w:tcPr>
            <w:tcW w:w="0" w:type="auto"/>
          </w:tcPr>
          <w:p w:rsidR="00876309" w:rsidRDefault="00876309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</w:t>
            </w:r>
          </w:p>
        </w:tc>
        <w:tc>
          <w:tcPr>
            <w:tcW w:w="3819" w:type="dxa"/>
          </w:tcPr>
          <w:p w:rsidR="00876309" w:rsidRDefault="00876309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и усложнение случаев 3.2. и 1.4.</w:t>
            </w:r>
          </w:p>
        </w:tc>
        <w:tc>
          <w:tcPr>
            <w:tcW w:w="1851" w:type="dxa"/>
            <w:vAlign w:val="center"/>
          </w:tcPr>
          <w:p w:rsidR="00876309" w:rsidRDefault="00876309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:rsidR="00876309" w:rsidRPr="00876309" w:rsidRDefault="00876309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:rsidR="00876309" w:rsidRDefault="00876309" w:rsidP="00D969EA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3" w:type="dxa"/>
          </w:tcPr>
          <w:p w:rsidR="00876309" w:rsidRDefault="00876309" w:rsidP="000452D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ли такое?</w:t>
            </w:r>
          </w:p>
        </w:tc>
      </w:tr>
      <w:tr w:rsidR="00876309" w:rsidTr="00D969EA">
        <w:trPr>
          <w:cantSplit/>
        </w:trPr>
        <w:tc>
          <w:tcPr>
            <w:tcW w:w="0" w:type="auto"/>
          </w:tcPr>
          <w:p w:rsidR="00876309" w:rsidRDefault="00876309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3819" w:type="dxa"/>
          </w:tcPr>
          <w:p w:rsidR="00876309" w:rsidRDefault="00876309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и усложнение случаев 3.2. и 1.5.</w:t>
            </w:r>
          </w:p>
        </w:tc>
        <w:tc>
          <w:tcPr>
            <w:tcW w:w="1851" w:type="dxa"/>
            <w:vAlign w:val="center"/>
          </w:tcPr>
          <w:p w:rsidR="00876309" w:rsidRDefault="00876309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:rsidR="00876309" w:rsidRPr="00876309" w:rsidRDefault="00876309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:rsidR="00876309" w:rsidRDefault="00876309" w:rsidP="00D969EA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3" w:type="dxa"/>
          </w:tcPr>
          <w:p w:rsidR="00876309" w:rsidRDefault="00876309" w:rsidP="000452D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Существует ли такое?</w:t>
            </w:r>
          </w:p>
        </w:tc>
      </w:tr>
      <w:tr w:rsidR="002B5A4E" w:rsidTr="009B27CF">
        <w:trPr>
          <w:cantSplit/>
        </w:trPr>
        <w:tc>
          <w:tcPr>
            <w:tcW w:w="0" w:type="auto"/>
          </w:tcPr>
          <w:p w:rsidR="002B5A4E" w:rsidRDefault="002B5A4E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491" w:type="dxa"/>
            <w:gridSpan w:val="4"/>
          </w:tcPr>
          <w:p w:rsidR="002B5A4E" w:rsidRDefault="002B5A4E" w:rsidP="002B5A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 с разными видами поставки по одной площадке и договору</w:t>
            </w:r>
          </w:p>
        </w:tc>
        <w:tc>
          <w:tcPr>
            <w:tcW w:w="5493" w:type="dxa"/>
          </w:tcPr>
          <w:p w:rsidR="002B5A4E" w:rsidRDefault="002B5A4E" w:rsidP="000452D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A4E" w:rsidTr="00D969EA">
        <w:trPr>
          <w:cantSplit/>
        </w:trPr>
        <w:tc>
          <w:tcPr>
            <w:tcW w:w="0" w:type="auto"/>
          </w:tcPr>
          <w:p w:rsidR="002B5A4E" w:rsidRDefault="002B5A4E" w:rsidP="00AE42D0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3819" w:type="dxa"/>
          </w:tcPr>
          <w:p w:rsidR="002B5A4E" w:rsidRDefault="002B5A4E" w:rsidP="002B5A4E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одной площадке в рамках одного договора существует два плана поставки газа разных собственников (Например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Лужскому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абразивному заводу, газ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Новатек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Газпром)</w:t>
            </w:r>
          </w:p>
        </w:tc>
        <w:tc>
          <w:tcPr>
            <w:tcW w:w="1851" w:type="dxa"/>
            <w:vAlign w:val="center"/>
          </w:tcPr>
          <w:p w:rsidR="002B5A4E" w:rsidRDefault="002B5A4E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:rsidR="002B5A4E" w:rsidRPr="00876309" w:rsidRDefault="002B5A4E" w:rsidP="00C860EB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:rsidR="002B5A4E" w:rsidRDefault="002B5A4E" w:rsidP="00D969EA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3" w:type="dxa"/>
          </w:tcPr>
          <w:p w:rsidR="002B5A4E" w:rsidRDefault="002B5A4E" w:rsidP="000452D3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такой случай поводом для распределения газа внутри одного договора? Как это правильно осуществлять пошагово?</w:t>
            </w:r>
          </w:p>
        </w:tc>
      </w:tr>
    </w:tbl>
    <w:p w:rsidR="00103D76" w:rsidRDefault="00103D76" w:rsidP="00103D76">
      <w:pPr>
        <w:rPr>
          <w:rFonts w:ascii="Times New Roman" w:hAnsi="Times New Roman" w:cs="Times New Roman"/>
          <w:sz w:val="24"/>
          <w:szCs w:val="24"/>
        </w:rPr>
        <w:sectPr w:rsidR="00103D76" w:rsidSect="00103D76">
          <w:footerReference w:type="default" r:id="rId9"/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:rsidR="00955A2B" w:rsidRPr="00020F82" w:rsidRDefault="004D3390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lastRenderedPageBreak/>
        <w:t>Первичное распределение</w:t>
      </w:r>
    </w:p>
    <w:p w:rsidR="0089252B" w:rsidRDefault="0089252B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перераспределить между договорами объемы потребления по площадкам таким образом, чтобы суточное потребление по определенной группе договоров </w:t>
      </w:r>
      <w:r w:rsidR="002B2F34">
        <w:rPr>
          <w:rFonts w:ascii="Times New Roman" w:hAnsi="Times New Roman" w:cs="Times New Roman"/>
          <w:sz w:val="24"/>
          <w:szCs w:val="24"/>
        </w:rPr>
        <w:t>не превышало плановых значений</w:t>
      </w:r>
      <w:r>
        <w:rPr>
          <w:rFonts w:ascii="Times New Roman" w:hAnsi="Times New Roman" w:cs="Times New Roman"/>
          <w:sz w:val="24"/>
          <w:szCs w:val="24"/>
        </w:rPr>
        <w:t>, а на остальных договорах суточный перебор был минимизирован.</w:t>
      </w:r>
    </w:p>
    <w:p w:rsidR="00311CB8" w:rsidRDefault="00311CB8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F73071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F73071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2559C1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="002559C1">
        <w:rPr>
          <w:rFonts w:ascii="Times New Roman" w:hAnsi="Times New Roman" w:cs="Times New Roman"/>
          <w:sz w:val="24"/>
          <w:szCs w:val="24"/>
        </w:rPr>
        <w:t xml:space="preserve">больше суммы планов и </w:t>
      </w:r>
      <w:r w:rsidRPr="002559C1">
        <w:rPr>
          <w:rFonts w:ascii="Times New Roman" w:hAnsi="Times New Roman" w:cs="Times New Roman"/>
          <w:sz w:val="24"/>
          <w:szCs w:val="24"/>
        </w:rPr>
        <w:t xml:space="preserve">меньше </w:t>
      </w:r>
      <w:r w:rsidR="00A025B9" w:rsidRPr="002559C1">
        <w:rPr>
          <w:rFonts w:ascii="Times New Roman" w:hAnsi="Times New Roman" w:cs="Times New Roman"/>
          <w:sz w:val="24"/>
          <w:szCs w:val="24"/>
        </w:rPr>
        <w:t xml:space="preserve">либо равен </w:t>
      </w:r>
      <w:r w:rsidRPr="002559C1">
        <w:rPr>
          <w:rFonts w:ascii="Times New Roman" w:hAnsi="Times New Roman" w:cs="Times New Roman"/>
          <w:sz w:val="24"/>
          <w:szCs w:val="24"/>
        </w:rPr>
        <w:t>сумм</w:t>
      </w:r>
      <w:r w:rsidR="00A025B9" w:rsidRPr="002559C1">
        <w:rPr>
          <w:rFonts w:ascii="Times New Roman" w:hAnsi="Times New Roman" w:cs="Times New Roman"/>
          <w:sz w:val="24"/>
          <w:szCs w:val="24"/>
        </w:rPr>
        <w:t>е</w:t>
      </w:r>
      <w:r w:rsidRPr="002559C1">
        <w:rPr>
          <w:rFonts w:ascii="Times New Roman" w:hAnsi="Times New Roman" w:cs="Times New Roman"/>
          <w:sz w:val="24"/>
          <w:szCs w:val="24"/>
        </w:rPr>
        <w:t xml:space="preserve"> планов </w:t>
      </w:r>
      <w:r w:rsidR="002559C1" w:rsidRPr="006C0BD2">
        <w:rPr>
          <w:rFonts w:ascii="Times New Roman" w:hAnsi="Times New Roman" w:cs="Times New Roman"/>
          <w:sz w:val="24"/>
          <w:szCs w:val="24"/>
        </w:rPr>
        <w:t>с учетом коридор</w:t>
      </w:r>
      <w:r w:rsidR="002559C1">
        <w:rPr>
          <w:rFonts w:ascii="Times New Roman" w:hAnsi="Times New Roman" w:cs="Times New Roman"/>
          <w:sz w:val="24"/>
          <w:szCs w:val="24"/>
        </w:rPr>
        <w:t>ов</w:t>
      </w:r>
      <w:r w:rsidR="002559C1"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Pr="002559C1">
        <w:rPr>
          <w:rFonts w:ascii="Times New Roman" w:hAnsi="Times New Roman" w:cs="Times New Roman"/>
          <w:sz w:val="24"/>
          <w:szCs w:val="24"/>
        </w:rPr>
        <w:t xml:space="preserve">за эти </w:t>
      </w:r>
      <w:r w:rsidR="00AD57A4" w:rsidRPr="002559C1">
        <w:rPr>
          <w:rFonts w:ascii="Times New Roman" w:hAnsi="Times New Roman" w:cs="Times New Roman"/>
          <w:sz w:val="24"/>
          <w:szCs w:val="24"/>
        </w:rPr>
        <w:t xml:space="preserve">же </w:t>
      </w:r>
      <w:r w:rsidRPr="002559C1">
        <w:rPr>
          <w:rFonts w:ascii="Times New Roman" w:hAnsi="Times New Roman" w:cs="Times New Roman"/>
          <w:sz w:val="24"/>
          <w:szCs w:val="24"/>
        </w:rPr>
        <w:t>сутки по всем договорам.</w:t>
      </w:r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&lt;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F73071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F73071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Pr="002559C1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Договоры должны просматриваться в порядке уменьшения приоритета </w:t>
      </w:r>
      <w:r w:rsidR="00EC1B08" w:rsidRPr="002559C1">
        <w:rPr>
          <w:rFonts w:ascii="Times New Roman" w:hAnsi="Times New Roman" w:cs="Times New Roman"/>
          <w:sz w:val="24"/>
          <w:szCs w:val="24"/>
        </w:rPr>
        <w:t>недобора</w:t>
      </w:r>
    </w:p>
    <w:p w:rsidR="000C035A" w:rsidRPr="00202A31" w:rsidRDefault="000C035A" w:rsidP="000C035A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меньше либо равен сумме планов за эти же сутки по всем договорам</w:t>
      </w:r>
      <w:r w:rsidRPr="00202A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035A" w:rsidRPr="00764FE7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Default="00F73071" w:rsidP="000C035A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0C035A">
        <w:rPr>
          <w:rFonts w:ascii="Times New Roman" w:eastAsiaTheme="minorEastAsia" w:hAnsi="Times New Roman" w:cs="Times New Roman"/>
        </w:rPr>
        <w:t xml:space="preserve"> 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Pr="00AB5DF5" w:rsidRDefault="00F73071" w:rsidP="000C035A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C035A" w:rsidRPr="00AB5DF5">
        <w:rPr>
          <w:rFonts w:ascii="Times New Roman" w:eastAsiaTheme="minorEastAsia" w:hAnsi="Times New Roman" w:cs="Times New Roman"/>
        </w:rPr>
        <w:t xml:space="preserve"> </w:t>
      </w:r>
    </w:p>
    <w:p w:rsidR="00684186" w:rsidRDefault="000C035A" w:rsidP="00684186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lastRenderedPageBreak/>
        <w:t>До</w:t>
      </w:r>
      <w:r>
        <w:rPr>
          <w:rFonts w:ascii="Times New Roman" w:hAnsi="Times New Roman" w:cs="Times New Roman"/>
          <w:sz w:val="24"/>
          <w:szCs w:val="24"/>
        </w:rPr>
        <w:t>говоры должны просматриваться в порядке уменьшения приоритета недобора</w:t>
      </w:r>
    </w:p>
    <w:p w:rsidR="00020F82" w:rsidRDefault="00020F82" w:rsidP="00684186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Pr="00020F82" w:rsidRDefault="00EC1B08" w:rsidP="00020F82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020F82">
        <w:rPr>
          <w:rFonts w:ascii="Times New Roman" w:hAnsi="Times New Roman" w:cs="Times New Roman"/>
          <w:sz w:val="36"/>
          <w:szCs w:val="24"/>
        </w:rPr>
        <w:t>Вторичное распределение</w:t>
      </w:r>
    </w:p>
    <w:p w:rsidR="0089252B" w:rsidRDefault="0089252B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используя данные первичного этапа, перераспределить потребление по площадке таким образом, чтобы </w:t>
      </w:r>
      <w:r w:rsidR="00DE6785">
        <w:rPr>
          <w:rFonts w:ascii="Times New Roman" w:hAnsi="Times New Roman" w:cs="Times New Roman"/>
          <w:sz w:val="24"/>
          <w:szCs w:val="24"/>
        </w:rPr>
        <w:t>убрать или минимизировать месячные переборы и недоборы на тех договорах, где они нежелательны.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CB8" w:rsidRDefault="00311CB8" w:rsidP="00311CB8">
      <w:pPr>
        <w:pStyle w:val="a"/>
        <w:numPr>
          <w:ilvl w:val="0"/>
          <w:numId w:val="0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5972D5" w:rsidRDefault="00375438" w:rsidP="00684186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311CB8">
      <w:pPr>
        <w:pStyle w:val="a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r w:rsidR="00DF1D2D">
        <w:rPr>
          <w:rFonts w:ascii="Times New Roman" w:eastAsiaTheme="minorEastAsia" w:hAnsi="Times New Roman" w:cs="Times New Roman"/>
          <w:sz w:val="24"/>
          <w:szCs w:val="24"/>
        </w:rPr>
        <w:t>+</w:t>
      </w:r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F73071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F73071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F73071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F73071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F73071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F73071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-(новое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F73071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(Алгоритм 3.3 надо итерировать по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k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от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ax</m:t>
            </m:r>
          </m:sup>
        </m:sSubSup>
      </m:oMath>
      <w:r w:rsidR="002B2F34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до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in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lightGray"/>
          </w:rPr>
          <m:t>-1</m:t>
        </m:r>
      </m:oMath>
      <w:r w:rsidR="00CD566E"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)</w:t>
      </w: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1929A9" w:rsidRDefault="00337A27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Вторичное распределение выполняется в несколько итераций с проверкой всех перечисленных случаев</w:t>
      </w:r>
    </w:p>
    <w:p w:rsidR="001929A9" w:rsidRPr="001929A9" w:rsidRDefault="001929A9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1929A9" w:rsidRPr="001929A9" w:rsidRDefault="001929A9" w:rsidP="001929A9">
      <w:pPr>
        <w:pStyle w:val="a"/>
        <w:jc w:val="center"/>
        <w:rPr>
          <w:rFonts w:ascii="Times New Roman" w:hAnsi="Times New Roman" w:cs="Times New Roman"/>
          <w:sz w:val="36"/>
          <w:szCs w:val="24"/>
        </w:rPr>
      </w:pPr>
      <w:r w:rsidRPr="001929A9">
        <w:rPr>
          <w:rFonts w:ascii="Times New Roman" w:hAnsi="Times New Roman" w:cs="Times New Roman"/>
          <w:sz w:val="36"/>
          <w:szCs w:val="24"/>
        </w:rPr>
        <w:t>Частные случаи.</w:t>
      </w:r>
    </w:p>
    <w:p w:rsidR="001929A9" w:rsidRDefault="001929A9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929A9">
        <w:rPr>
          <w:rFonts w:ascii="Times New Roman" w:hAnsi="Times New Roman" w:cs="Times New Roman"/>
          <w:sz w:val="24"/>
        </w:rPr>
        <w:t xml:space="preserve"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</w:t>
      </w:r>
      <w:r w:rsidR="00311CB8">
        <w:rPr>
          <w:rFonts w:ascii="Times New Roman" w:hAnsi="Times New Roman" w:cs="Times New Roman"/>
          <w:sz w:val="24"/>
        </w:rPr>
        <w:t>распределяется</w:t>
      </w:r>
      <w:r w:rsidRPr="001929A9">
        <w:rPr>
          <w:rFonts w:ascii="Times New Roman" w:hAnsi="Times New Roman" w:cs="Times New Roman"/>
          <w:sz w:val="24"/>
        </w:rPr>
        <w:t xml:space="preserve"> пропорционально плановому значению.</w:t>
      </w:r>
    </w:p>
    <w:p w:rsidR="0010102D" w:rsidRPr="001929A9" w:rsidRDefault="0010102D" w:rsidP="001929A9">
      <w:pPr>
        <w:pStyle w:val="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</w:p>
    <w:p w:rsidR="001929A9" w:rsidRPr="001929A9" w:rsidRDefault="001929A9" w:rsidP="001929A9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1929A9" w:rsidRPr="001929A9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071" w:rsidRDefault="00F73071" w:rsidP="002B6BD6">
      <w:pPr>
        <w:spacing w:after="0" w:line="240" w:lineRule="auto"/>
      </w:pPr>
      <w:r>
        <w:separator/>
      </w:r>
    </w:p>
  </w:endnote>
  <w:endnote w:type="continuationSeparator" w:id="0">
    <w:p w:rsidR="00F73071" w:rsidRDefault="00F73071" w:rsidP="002B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977402"/>
      <w:docPartObj>
        <w:docPartGallery w:val="Page Numbers (Bottom of Page)"/>
        <w:docPartUnique/>
      </w:docPartObj>
    </w:sdtPr>
    <w:sdtEndPr/>
    <w:sdtContent>
      <w:p w:rsidR="0010102D" w:rsidRDefault="0010102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0AD">
          <w:rPr>
            <w:noProof/>
          </w:rPr>
          <w:t>3</w:t>
        </w:r>
        <w:r>
          <w:fldChar w:fldCharType="end"/>
        </w:r>
      </w:p>
    </w:sdtContent>
  </w:sdt>
  <w:p w:rsidR="0010102D" w:rsidRDefault="0010102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343885"/>
      <w:docPartObj>
        <w:docPartGallery w:val="Page Numbers (Bottom of Page)"/>
        <w:docPartUnique/>
      </w:docPartObj>
    </w:sdtPr>
    <w:sdtEndPr/>
    <w:sdtContent>
      <w:p w:rsidR="00103D76" w:rsidRDefault="00103D7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0AD">
          <w:rPr>
            <w:noProof/>
          </w:rPr>
          <w:t>6</w:t>
        </w:r>
        <w:r>
          <w:fldChar w:fldCharType="end"/>
        </w:r>
      </w:p>
    </w:sdtContent>
  </w:sdt>
  <w:p w:rsidR="00103D76" w:rsidRDefault="00103D7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071" w:rsidRDefault="00F73071" w:rsidP="002B6BD6">
      <w:pPr>
        <w:spacing w:after="0" w:line="240" w:lineRule="auto"/>
      </w:pPr>
      <w:r>
        <w:separator/>
      </w:r>
    </w:p>
  </w:footnote>
  <w:footnote w:type="continuationSeparator" w:id="0">
    <w:p w:rsidR="00F73071" w:rsidRDefault="00F73071" w:rsidP="002B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C82E4828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62F39C9"/>
    <w:multiLevelType w:val="hybridMultilevel"/>
    <w:tmpl w:val="F40A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8662151"/>
    <w:multiLevelType w:val="hybridMultilevel"/>
    <w:tmpl w:val="79F89E36"/>
    <w:lvl w:ilvl="0" w:tplc="E170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0F82"/>
    <w:rsid w:val="00022ACB"/>
    <w:rsid w:val="000452D3"/>
    <w:rsid w:val="000508AD"/>
    <w:rsid w:val="000712D9"/>
    <w:rsid w:val="00073F75"/>
    <w:rsid w:val="00083098"/>
    <w:rsid w:val="00086E32"/>
    <w:rsid w:val="00097941"/>
    <w:rsid w:val="000A200E"/>
    <w:rsid w:val="000C035A"/>
    <w:rsid w:val="000D285A"/>
    <w:rsid w:val="000D7B3A"/>
    <w:rsid w:val="000E1249"/>
    <w:rsid w:val="0010102D"/>
    <w:rsid w:val="00103D76"/>
    <w:rsid w:val="001121F8"/>
    <w:rsid w:val="001222BD"/>
    <w:rsid w:val="0012371A"/>
    <w:rsid w:val="00166C27"/>
    <w:rsid w:val="00173EAC"/>
    <w:rsid w:val="001929A9"/>
    <w:rsid w:val="001B52F0"/>
    <w:rsid w:val="00202A31"/>
    <w:rsid w:val="002127A6"/>
    <w:rsid w:val="002166DF"/>
    <w:rsid w:val="002308CB"/>
    <w:rsid w:val="002559C1"/>
    <w:rsid w:val="00276295"/>
    <w:rsid w:val="002805E3"/>
    <w:rsid w:val="002A7C97"/>
    <w:rsid w:val="002B2F34"/>
    <w:rsid w:val="002B3F3C"/>
    <w:rsid w:val="002B5A4E"/>
    <w:rsid w:val="002B6BD6"/>
    <w:rsid w:val="00307216"/>
    <w:rsid w:val="00311CB8"/>
    <w:rsid w:val="00315427"/>
    <w:rsid w:val="00337A27"/>
    <w:rsid w:val="00341F02"/>
    <w:rsid w:val="00343B78"/>
    <w:rsid w:val="00347C28"/>
    <w:rsid w:val="003703AF"/>
    <w:rsid w:val="00375438"/>
    <w:rsid w:val="00397E0F"/>
    <w:rsid w:val="003A5F8F"/>
    <w:rsid w:val="00456429"/>
    <w:rsid w:val="004B2683"/>
    <w:rsid w:val="004B3BFE"/>
    <w:rsid w:val="004B7D3B"/>
    <w:rsid w:val="004D3390"/>
    <w:rsid w:val="004D4133"/>
    <w:rsid w:val="004D4A4D"/>
    <w:rsid w:val="004D6FB7"/>
    <w:rsid w:val="004F2ED2"/>
    <w:rsid w:val="004F6DE7"/>
    <w:rsid w:val="005101FA"/>
    <w:rsid w:val="00515193"/>
    <w:rsid w:val="00517E3A"/>
    <w:rsid w:val="0055056A"/>
    <w:rsid w:val="00555EF4"/>
    <w:rsid w:val="005972D5"/>
    <w:rsid w:val="005B286B"/>
    <w:rsid w:val="005D26ED"/>
    <w:rsid w:val="00614140"/>
    <w:rsid w:val="00651D31"/>
    <w:rsid w:val="00681D06"/>
    <w:rsid w:val="00684186"/>
    <w:rsid w:val="006D00E9"/>
    <w:rsid w:val="006E1184"/>
    <w:rsid w:val="006F457B"/>
    <w:rsid w:val="00715C72"/>
    <w:rsid w:val="007164DA"/>
    <w:rsid w:val="00740153"/>
    <w:rsid w:val="00752B8E"/>
    <w:rsid w:val="00761287"/>
    <w:rsid w:val="00764FE7"/>
    <w:rsid w:val="00767FA2"/>
    <w:rsid w:val="007865B3"/>
    <w:rsid w:val="007C0F82"/>
    <w:rsid w:val="00815252"/>
    <w:rsid w:val="00841768"/>
    <w:rsid w:val="008470FA"/>
    <w:rsid w:val="00862041"/>
    <w:rsid w:val="008759F0"/>
    <w:rsid w:val="00876309"/>
    <w:rsid w:val="0089252B"/>
    <w:rsid w:val="00892EAD"/>
    <w:rsid w:val="00893157"/>
    <w:rsid w:val="008B07E5"/>
    <w:rsid w:val="008C3172"/>
    <w:rsid w:val="008E0F59"/>
    <w:rsid w:val="008E33CD"/>
    <w:rsid w:val="008E3AD3"/>
    <w:rsid w:val="008E69C7"/>
    <w:rsid w:val="008F50AD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50AB5"/>
    <w:rsid w:val="00A87B48"/>
    <w:rsid w:val="00A97B38"/>
    <w:rsid w:val="00AA6B83"/>
    <w:rsid w:val="00AB5DF5"/>
    <w:rsid w:val="00AD57A4"/>
    <w:rsid w:val="00AE42D0"/>
    <w:rsid w:val="00AF4C79"/>
    <w:rsid w:val="00B0440F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C860EB"/>
    <w:rsid w:val="00CD566E"/>
    <w:rsid w:val="00D22DBE"/>
    <w:rsid w:val="00D56C0B"/>
    <w:rsid w:val="00D969EA"/>
    <w:rsid w:val="00DC0735"/>
    <w:rsid w:val="00DE1B96"/>
    <w:rsid w:val="00DE6785"/>
    <w:rsid w:val="00DF1D2D"/>
    <w:rsid w:val="00DF3079"/>
    <w:rsid w:val="00E039E3"/>
    <w:rsid w:val="00E33165"/>
    <w:rsid w:val="00E478E5"/>
    <w:rsid w:val="00E47D11"/>
    <w:rsid w:val="00EA2848"/>
    <w:rsid w:val="00EC1B08"/>
    <w:rsid w:val="00F2411E"/>
    <w:rsid w:val="00F26C90"/>
    <w:rsid w:val="00F343E9"/>
    <w:rsid w:val="00F426D4"/>
    <w:rsid w:val="00F65B9F"/>
    <w:rsid w:val="00F73071"/>
    <w:rsid w:val="00F74EC1"/>
    <w:rsid w:val="00F805CB"/>
    <w:rsid w:val="00F81B58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B574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  <w:style w:type="paragraph" w:styleId="af">
    <w:name w:val="header"/>
    <w:basedOn w:val="a0"/>
    <w:link w:val="af0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B6BD6"/>
  </w:style>
  <w:style w:type="paragraph" w:styleId="af1">
    <w:name w:val="footer"/>
    <w:basedOn w:val="a0"/>
    <w:link w:val="af2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A4EA3-DFB1-4ADF-8187-6CEA7F17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6</cp:revision>
  <cp:lastPrinted>2017-10-12T07:19:00Z</cp:lastPrinted>
  <dcterms:created xsi:type="dcterms:W3CDTF">2019-07-19T11:06:00Z</dcterms:created>
  <dcterms:modified xsi:type="dcterms:W3CDTF">2019-07-19T14:31:00Z</dcterms:modified>
</cp:coreProperties>
</file>