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988A8" w14:textId="0314E155" w:rsidR="00D15289" w:rsidRDefault="00D1528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153CB7" wp14:editId="67FE45F0">
            <wp:extent cx="5731510" cy="44602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C919" w14:textId="77777777" w:rsidR="00D15289" w:rsidRDefault="00D15289">
      <w:pPr>
        <w:rPr>
          <w:b/>
          <w:bCs/>
        </w:rPr>
      </w:pPr>
    </w:p>
    <w:p w14:paraId="26D1ACD4" w14:textId="0F2C9982" w:rsidR="000124F6" w:rsidRDefault="00D15289">
      <w:r w:rsidRPr="00D15289">
        <w:rPr>
          <w:b/>
          <w:bCs/>
        </w:rPr>
        <w:t>Correlation heatmap</w:t>
      </w:r>
      <w:r w:rsidRPr="00D15289">
        <w:t xml:space="preserve"> — </w:t>
      </w:r>
      <w:proofErr w:type="spellStart"/>
      <w:r w:rsidRPr="00D15289">
        <w:t>ai_maturity_score</w:t>
      </w:r>
      <w:proofErr w:type="spellEnd"/>
      <w:r w:rsidRPr="00D15289">
        <w:t xml:space="preserve"> is the standout: it moves almost in lockstep with </w:t>
      </w:r>
      <w:proofErr w:type="spellStart"/>
      <w:r w:rsidRPr="00D15289">
        <w:t>ai_adoption_rate</w:t>
      </w:r>
      <w:proofErr w:type="spellEnd"/>
      <w:r w:rsidRPr="00D15289">
        <w:t xml:space="preserve"> (0.84), and closely with </w:t>
      </w:r>
      <w:proofErr w:type="spellStart"/>
      <w:r w:rsidRPr="00D15289">
        <w:t>ai_training_hours</w:t>
      </w:r>
      <w:proofErr w:type="spellEnd"/>
      <w:r w:rsidRPr="00D15289">
        <w:t xml:space="preserve"> (0.82) and </w:t>
      </w:r>
      <w:proofErr w:type="spellStart"/>
      <w:r w:rsidRPr="00D15289">
        <w:t>ai_budget_percentage</w:t>
      </w:r>
      <w:proofErr w:type="spellEnd"/>
      <w:r w:rsidRPr="00D15289">
        <w:t xml:space="preserve"> (0.82). Read that as: how much a company invests in training/budget is tightly bound up with how mature its AI use becomes. </w:t>
      </w:r>
      <w:proofErr w:type="spellStart"/>
      <w:r w:rsidRPr="00D15289">
        <w:t>employee_satisfaction_score</w:t>
      </w:r>
      <w:proofErr w:type="spellEnd"/>
      <w:r w:rsidRPr="00D15289">
        <w:t xml:space="preserve"> is the odd one out — it barely correlates with anything (0.16–0.38), meaning staff satisfaction isn't really moving with AI investment one way or the other in this dataset.</w:t>
      </w:r>
    </w:p>
    <w:p w14:paraId="6F198E86" w14:textId="77777777" w:rsidR="00D15289" w:rsidRDefault="00D15289"/>
    <w:p w14:paraId="69E373EA" w14:textId="77777777" w:rsidR="00D15289" w:rsidRDefault="00D15289"/>
    <w:sectPr w:rsidR="00D15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89"/>
    <w:rsid w:val="000124F6"/>
    <w:rsid w:val="00347F47"/>
    <w:rsid w:val="00357B7E"/>
    <w:rsid w:val="00377076"/>
    <w:rsid w:val="00D1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5383B"/>
  <w15:chartTrackingRefBased/>
  <w15:docId w15:val="{5EFFBD7C-E3B8-4B44-B411-F95EB57A3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2026-08-06T00:46:00Z</dcterms:created>
  <dcterms:modified xsi:type="dcterms:W3CDTF">2026-08-06T00:48:00Z</dcterms:modified>
</cp:coreProperties>
</file>