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0024E" w14:textId="5A5A8D5C" w:rsidR="000124F6" w:rsidRDefault="001B2EBE">
      <w:r w:rsidRPr="001B2EBE">
        <w:rPr>
          <w:b/>
          <w:bCs/>
        </w:rPr>
        <w:t>The overall story your EDA is telling:</w:t>
      </w:r>
      <w:r w:rsidRPr="001B2EBE">
        <w:t xml:space="preserve"> AI adoption success in this dataset is driven by </w:t>
      </w:r>
      <w:r w:rsidRPr="001B2EBE">
        <w:rPr>
          <w:i/>
          <w:iCs/>
        </w:rPr>
        <w:t>investment behaviour</w:t>
      </w:r>
      <w:r w:rsidRPr="001B2EBE">
        <w:t xml:space="preserve"> (training, budget, maturity) and </w:t>
      </w:r>
      <w:r w:rsidRPr="001B2EBE">
        <w:rPr>
          <w:i/>
          <w:iCs/>
        </w:rPr>
        <w:t>company size</w:t>
      </w:r>
      <w:r w:rsidRPr="001B2EBE">
        <w:t xml:space="preserve">, essentially unrelated to </w:t>
      </w:r>
      <w:r w:rsidRPr="001B2EBE">
        <w:rPr>
          <w:i/>
          <w:iCs/>
        </w:rPr>
        <w:t>company age</w:t>
      </w:r>
      <w:r w:rsidRPr="001B2EBE">
        <w:t xml:space="preserve">, and only loosely connected to </w:t>
      </w:r>
      <w:r w:rsidRPr="001B2EBE">
        <w:rPr>
          <w:i/>
          <w:iCs/>
        </w:rPr>
        <w:t>employee satisfaction</w:t>
      </w:r>
      <w:r w:rsidRPr="001B2EBE">
        <w:t>. That's a solid, defensible narrative for your Phase 1 insights section — company size and investment intensity matter, tenure doesn't.</w:t>
      </w:r>
    </w:p>
    <w:sectPr w:rsidR="0001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BE"/>
    <w:rsid w:val="000124F6"/>
    <w:rsid w:val="001B2EBE"/>
    <w:rsid w:val="00347F47"/>
    <w:rsid w:val="00357B7E"/>
    <w:rsid w:val="007F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8641"/>
  <w15:chartTrackingRefBased/>
  <w15:docId w15:val="{90F16EFE-EE60-4E10-99DF-BA64D9F9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2026-08-06T01:47:00Z</dcterms:created>
  <dcterms:modified xsi:type="dcterms:W3CDTF">2026-08-06T01:48:00Z</dcterms:modified>
</cp:coreProperties>
</file>