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2F5496"/>
        </w:rPr>
        <w:t xml:space="preserve">ENSE707 Final Project — Step-by-Step Completion Plan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SQA Group — Peak-Load Capacity &amp; Anomaly Detection Tool. This plan sequences the Assessment 2 tasks so implementation finishes before test/metrics/reflection work begins, and leaves the last two weeks free for polishing and rehearsal rather than new development.</w:t>
      </w: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Guiding principles</w:t>
      </w:r>
    </w:p>
    <w:p>
      <w:pPr>
        <w:spacing w:after="60"/>
        <w:ind w:left="360"/>
      </w:pPr>
      <w:r>
        <w:rPr>
          <w:sz w:val="21"/>
          <w:szCs w:val="21"/>
        </w:rPr>
        <w:t xml:space="preserve">•  </w:t>
      </w:r>
      <w:r>
        <w:rPr>
          <w:sz w:val="21"/>
          <w:szCs w:val="21"/>
        </w:rPr>
        <w:t xml:space="preserve">Finish the system first (Tasks 1) before generating final test evidence, metrics, and reflection — everything downstream depends on a stable prototype.</w:t>
      </w:r>
    </w:p>
    <w:p>
      <w:pPr>
        <w:spacing w:after="60"/>
        <w:ind w:left="360"/>
      </w:pPr>
      <w:r>
        <w:rPr>
          <w:sz w:val="21"/>
          <w:szCs w:val="21"/>
        </w:rPr>
        <w:t xml:space="preserve">•  </w:t>
      </w:r>
      <w:r>
        <w:rPr>
          <w:sz w:val="21"/>
          <w:szCs w:val="21"/>
        </w:rPr>
        <w:t xml:space="preserve">Keep 2+ GitHub commits per person per week from week 1, not just near the deadline — this is graded evidence, not just a habit.</w:t>
      </w:r>
    </w:p>
    <w:p>
      <w:pPr>
        <w:spacing w:after="60"/>
        <w:ind w:left="360"/>
      </w:pPr>
      <w:r>
        <w:rPr>
          <w:sz w:val="21"/>
          <w:szCs w:val="21"/>
        </w:rPr>
        <w:t xml:space="preserve">•  </w:t>
      </w:r>
      <w:r>
        <w:rPr>
          <w:sz w:val="21"/>
          <w:szCs w:val="21"/>
        </w:rPr>
        <w:t xml:space="preserve">Log every defect and every Copilot prompt/outcome as you go, rather than reconstructing them at the end — the mid-project report already shows this works well.</w:t>
      </w:r>
    </w:p>
    <w:p>
      <w:pPr>
        <w:spacing w:after="60"/>
        <w:ind w:left="360"/>
      </w:pPr>
      <w:r>
        <w:rPr>
          <w:sz w:val="21"/>
          <w:szCs w:val="21"/>
        </w:rPr>
        <w:t xml:space="preserve">•  </w:t>
      </w:r>
      <w:r>
        <w:rPr>
          <w:sz w:val="21"/>
          <w:szCs w:val="21"/>
        </w:rPr>
        <w:t xml:space="preserve">Treat weeks 11-12 as buffer/polish time only; all new functionality should be done by week 8.</w:t>
      </w: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12-week plan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1600"/>
        <w:gridCol w:w="2800"/>
      </w:tblGrid>
      <w:tr>
        <w:trPr>
          <w:tblHeader/>
        </w:trPr>
        <w:tc>
          <w:tcPr>
            <w:tcW w:type="dxa" w:w="9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52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16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Owner(s)</w:t>
            </w:r>
          </w:p>
        </w:tc>
        <w:tc>
          <w:tcPr>
            <w:tcW w:type="dxa" w:w="28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outputs</w:t>
            </w:r>
          </w:p>
        </w:tc>
      </w:tr>
      <w:tr>
        <w:trPr>
          <w:tblHeader w:val="false"/>
        </w:trPr>
        <w:tc>
          <w:tcPr>
            <w:tcW w:type="dxa" w:w="900"/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vAlign w:val="center"/>
          </w:tcPr>
          <w:p>
            <w:r>
              <w:rPr>
                <w:sz w:val="19"/>
                <w:szCs w:val="19"/>
              </w:rPr>
              <w:t xml:space="preserve">Read Assessment 2 rubric as a team; agree scope changes since Assessment 1; assign the 12 tasks across P1/P2/P3; set up defect register (GitHub Issues) and CI skeleton.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9"/>
                <w:szCs w:val="19"/>
              </w:rPr>
              <w:t xml:space="preserve">All</w:t>
            </w:r>
          </w:p>
        </w:tc>
        <w:tc>
          <w:tcPr>
            <w:tcW w:type="dxa" w:w="2800"/>
            <w:vAlign w:val="center"/>
          </w:tcPr>
          <w:p>
            <w:r>
              <w:rPr>
                <w:sz w:val="19"/>
                <w:szCs w:val="19"/>
              </w:rPr>
              <w:t xml:space="preserve">Task list assigned; GitHub Issues board created; CI pipeline skeleton (build only)</w:t>
            </w:r>
          </w:p>
        </w:tc>
      </w:tr>
      <w:tr>
        <w:trPr>
          <w:tblHeader w:val="false"/>
        </w:trPr>
        <w:tc>
          <w:tcPr>
            <w:tcW w:type="dxa" w:w="900"/>
            <w:shd w:fill="EAF0FA" w:val="clear"/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shd w:fill="EAF0FA" w:val="clear"/>
            <w:vAlign w:val="center"/>
          </w:tcPr>
          <w:p>
            <w:r>
              <w:rPr>
                <w:sz w:val="19"/>
                <w:szCs w:val="19"/>
              </w:rPr>
              <w:t xml:space="preserve">Finish remaining P1 features (images, remove-from-cart, account/security); add failure-injection toggles; start NpgsqlException interception + logging.</w:t>
            </w:r>
          </w:p>
        </w:tc>
        <w:tc>
          <w:tcPr>
            <w:tcW w:type="dxa" w:w="1600"/>
            <w:shd w:fill="EAF0FA" w:val="clear"/>
            <w:vAlign w:val="center"/>
          </w:tcPr>
          <w:p>
            <w:r>
              <w:rPr>
                <w:sz w:val="19"/>
                <w:szCs w:val="19"/>
              </w:rPr>
              <w:t xml:space="preserve">P1 owner + support</w:t>
            </w:r>
          </w:p>
        </w:tc>
        <w:tc>
          <w:tcPr>
            <w:tcW w:type="dxa" w:w="2800"/>
            <w:shd w:fill="EAF0FA" w:val="clear"/>
            <w:vAlign w:val="center"/>
          </w:tcPr>
          <w:p>
            <w:r>
              <w:rPr>
                <w:sz w:val="19"/>
                <w:szCs w:val="19"/>
              </w:rPr>
              <w:t xml:space="preserve">Updated storefront GUI; toggles wired; exception handler v1</w:t>
            </w:r>
          </w:p>
        </w:tc>
      </w:tr>
      <w:tr>
        <w:trPr>
          <w:tblHeader w:val="false"/>
        </w:trPr>
        <w:tc>
          <w:tcPr>
            <w:tcW w:type="dxa" w:w="900"/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vAlign w:val="center"/>
          </w:tcPr>
          <w:p>
            <w:r>
              <w:rPr>
                <w:sz w:val="19"/>
                <w:szCs w:val="19"/>
              </w:rPr>
              <w:t xml:space="preserve">Implement connection-pool auto-reconnect (Req 7); decouple data-access layer fully from UI (Req 8); add dashboard colour-coded health indicator (Req 9).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9"/>
                <w:szCs w:val="19"/>
              </w:rPr>
              <w:t xml:space="preserve">P1 owner</w:t>
            </w:r>
          </w:p>
        </w:tc>
        <w:tc>
          <w:tcPr>
            <w:tcW w:type="dxa" w:w="2800"/>
            <w:vAlign w:val="center"/>
          </w:tcPr>
          <w:p>
            <w:r>
              <w:rPr>
                <w:sz w:val="19"/>
                <w:szCs w:val="19"/>
              </w:rPr>
              <w:t xml:space="preserve">Req 6-9 implemented and unit-tested</w:t>
            </w:r>
          </w:p>
        </w:tc>
      </w:tr>
      <w:tr>
        <w:trPr>
          <w:tblHeader w:val="false"/>
        </w:trPr>
        <w:tc>
          <w:tcPr>
            <w:tcW w:type="dxa" w:w="900"/>
            <w:shd w:fill="EAF0FA" w:val="clear"/>
            <w:vAlign w:val="center"/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shd w:fill="EAF0FA" w:val="clear"/>
            <w:vAlign w:val="center"/>
          </w:tcPr>
          <w:p>
            <w:r>
              <w:rPr>
                <w:sz w:val="19"/>
                <w:szCs w:val="19"/>
              </w:rPr>
              <w:t xml:space="preserve">P2: replace console export with automated pipeline feeding P3; add randomised/advanced queries and throughput stats.</w:t>
            </w:r>
          </w:p>
        </w:tc>
        <w:tc>
          <w:tcPr>
            <w:tcW w:type="dxa" w:w="1600"/>
            <w:shd w:fill="EAF0FA" w:val="clear"/>
            <w:vAlign w:val="center"/>
          </w:tcPr>
          <w:p>
            <w:r>
              <w:rPr>
                <w:sz w:val="19"/>
                <w:szCs w:val="19"/>
              </w:rPr>
              <w:t xml:space="preserve">P2 owner</w:t>
            </w:r>
          </w:p>
        </w:tc>
        <w:tc>
          <w:tcPr>
            <w:tcW w:type="dxa" w:w="2800"/>
            <w:shd w:fill="EAF0FA" w:val="clear"/>
            <w:vAlign w:val="center"/>
          </w:tcPr>
          <w:p>
            <w:r>
              <w:rPr>
                <w:sz w:val="19"/>
                <w:szCs w:val="19"/>
              </w:rPr>
              <w:t xml:space="preserve">P2 → P3 data pipeline working end-to-end</w:t>
            </w:r>
          </w:p>
        </w:tc>
      </w:tr>
      <w:tr>
        <w:trPr>
          <w:tblHeader w:val="false"/>
        </w:trPr>
        <w:tc>
          <w:tcPr>
            <w:tcW w:type="dxa" w:w="900"/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vAlign w:val="center"/>
          </w:tcPr>
          <w:p>
            <w:r>
              <w:rPr>
                <w:sz w:val="19"/>
                <w:szCs w:val="19"/>
              </w:rPr>
              <w:t xml:space="preserve">P3: finalise Live Dashboard + Historical Trends against real multi-build data; extend CI to run MSTest suite on every push/PR; define quality gates.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9"/>
                <w:szCs w:val="19"/>
              </w:rPr>
              <w:t xml:space="preserve">P3 owner + all</w:t>
            </w:r>
          </w:p>
        </w:tc>
        <w:tc>
          <w:tcPr>
            <w:tcW w:type="dxa" w:w="2800"/>
            <w:vAlign w:val="center"/>
          </w:tcPr>
          <w:p>
            <w:r>
              <w:rPr>
                <w:sz w:val="19"/>
                <w:szCs w:val="19"/>
              </w:rPr>
              <w:t xml:space="preserve">Dashboard finished; CI running tests automatically</w:t>
            </w:r>
          </w:p>
        </w:tc>
      </w:tr>
      <w:tr>
        <w:trPr>
          <w:tblHeader w:val="false"/>
        </w:trPr>
        <w:tc>
          <w:tcPr>
            <w:tcW w:type="dxa" w:w="900"/>
            <w:shd w:fill="EAF0FA" w:val="clear"/>
            <w:vAlign w:val="center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shd w:fill="EAF0FA" w:val="clear"/>
            <w:vAlign w:val="center"/>
          </w:tcPr>
          <w:p>
            <w:r>
              <w:rPr>
                <w:sz w:val="19"/>
                <w:szCs w:val="19"/>
              </w:rPr>
              <w:t xml:space="preserve">Update Requirements Traceability Matrix with real Pass/Fail/Blocked results; execute TC-01 to TC-11; design additional test cases to reach 15+.</w:t>
            </w:r>
          </w:p>
        </w:tc>
        <w:tc>
          <w:tcPr>
            <w:tcW w:type="dxa" w:w="1600"/>
            <w:shd w:fill="EAF0FA" w:val="clear"/>
            <w:vAlign w:val="center"/>
          </w:tcPr>
          <w:p>
            <w:r>
              <w:rPr>
                <w:sz w:val="19"/>
                <w:szCs w:val="19"/>
              </w:rPr>
              <w:t xml:space="preserve">All</w:t>
            </w:r>
          </w:p>
        </w:tc>
        <w:tc>
          <w:tcPr>
            <w:tcW w:type="dxa" w:w="2800"/>
            <w:shd w:fill="EAF0FA" w:val="clear"/>
            <w:vAlign w:val="center"/>
          </w:tcPr>
          <w:p>
            <w:r>
              <w:rPr>
                <w:sz w:val="19"/>
                <w:szCs w:val="19"/>
              </w:rPr>
              <w:t xml:space="preserve">RTM updated; 15+ test cases with results</w:t>
            </w:r>
          </w:p>
        </w:tc>
      </w:tr>
      <w:tr>
        <w:trPr>
          <w:tblHeader w:val="false"/>
        </w:trPr>
        <w:tc>
          <w:tcPr>
            <w:tcW w:type="dxa" w:w="900"/>
            <w:vAlign w:val="center"/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  <w:vAlign w:val="center"/>
          </w:tcPr>
          <w:p>
            <w:r>
              <w:rPr>
                <w:sz w:val="19"/>
                <w:szCs w:val="19"/>
              </w:rPr>
              <w:t xml:space="preserve">Select and implement automation for suitable test cases; capture Test Explorer/CI evidence; run quality testing (performance + reliability, at minimum).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9"/>
                <w:szCs w:val="19"/>
              </w:rPr>
              <w:t xml:space="preserve">All</w:t>
            </w:r>
          </w:p>
        </w:tc>
        <w:tc>
          <w:tcPr>
            <w:tcW w:type="dxa" w:w="2800"/>
            <w:vAlign w:val="center"/>
          </w:tcPr>
          <w:p>
            <w:r>
              <w:rPr>
                <w:sz w:val="19"/>
                <w:szCs w:val="19"/>
              </w:rPr>
              <w:t xml:space="preserve">Automated suite extended; quality-testing evidence collected</w:t>
            </w:r>
          </w:p>
        </w:tc>
      </w:tr>
      <w:tr>
        <w:trPr>
          <w:tblHeader w:val="false"/>
        </w:trPr>
        <w:tc>
          <w:tcPr>
            <w:tcW w:type="dxa" w:w="900"/>
            <w:shd w:fill="EAF0FA" w:val="clear"/>
            <w:vAlign w:val="cente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5200"/>
            <w:shd w:fill="EAF0FA" w:val="clear"/>
            <w:vAlign w:val="center"/>
          </w:tcPr>
          <w:p>
            <w:r>
              <w:rPr>
                <w:sz w:val="19"/>
                <w:szCs w:val="19"/>
              </w:rPr>
              <w:t xml:space="preserve">Root cause analysis on 3+ defects; compile quality metrics (pass rate, defect distribution, coverage, commit activity); draft release decision.</w:t>
            </w:r>
          </w:p>
        </w:tc>
        <w:tc>
          <w:tcPr>
            <w:tcW w:type="dxa" w:w="1600"/>
            <w:shd w:fill="EAF0FA" w:val="clear"/>
            <w:vAlign w:val="center"/>
          </w:tcPr>
          <w:p>
            <w:r>
              <w:rPr>
                <w:sz w:val="19"/>
                <w:szCs w:val="19"/>
              </w:rPr>
              <w:t xml:space="preserve">All</w:t>
            </w:r>
          </w:p>
        </w:tc>
        <w:tc>
          <w:tcPr>
            <w:tcW w:type="dxa" w:w="2800"/>
            <w:shd w:fill="EAF0FA" w:val="clear"/>
            <w:vAlign w:val="center"/>
          </w:tcPr>
          <w:p>
            <w:r>
              <w:rPr>
                <w:sz w:val="19"/>
                <w:szCs w:val="19"/>
              </w:rPr>
              <w:t xml:space="preserve">RCA write-up; metrics summary; draft release decision</w:t>
            </w:r>
          </w:p>
        </w:tc>
      </w:tr>
      <w:tr>
        <w:trPr>
          <w:tblHeader w:val="false"/>
        </w:trPr>
        <w:tc>
          <w:tcPr>
            <w:tcW w:type="dxa" w:w="900"/>
            <w:vAlign w:val="center"/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5200"/>
            <w:vAlign w:val="center"/>
          </w:tcPr>
          <w:p>
            <w:r>
              <w:rPr>
                <w:sz w:val="19"/>
                <w:szCs w:val="19"/>
              </w:rPr>
              <w:t xml:space="preserve">Write up AI-assisted development reflection (Phase 2 Copilot log); draft quality-improvement and future-recommendations sections; draft individual contribution statements.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9"/>
                <w:szCs w:val="19"/>
              </w:rPr>
              <w:t xml:space="preserve">All</w:t>
            </w:r>
          </w:p>
        </w:tc>
        <w:tc>
          <w:tcPr>
            <w:tcW w:type="dxa" w:w="2800"/>
            <w:vAlign w:val="center"/>
          </w:tcPr>
          <w:p>
            <w:r>
              <w:rPr>
                <w:sz w:val="19"/>
                <w:szCs w:val="19"/>
              </w:rPr>
              <w:t xml:space="preserve">Draft sections for Tasks 9-11</w:t>
            </w:r>
          </w:p>
        </w:tc>
      </w:tr>
      <w:tr>
        <w:trPr>
          <w:tblHeader w:val="false"/>
        </w:trPr>
        <w:tc>
          <w:tcPr>
            <w:tcW w:type="dxa" w:w="900"/>
            <w:shd w:fill="EAF0FA" w:val="clear"/>
            <w:vAlign w:val="center"/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5200"/>
            <w:shd w:fill="EAF0FA" w:val="clear"/>
            <w:vAlign w:val="center"/>
          </w:tcPr>
          <w:p>
            <w:r>
              <w:rPr>
                <w:sz w:val="19"/>
                <w:szCs w:val="19"/>
              </w:rPr>
              <w:t xml:space="preserve">Assemble full report (6000-7000 words); check word count, formatting, references; build the 15-slide presentation.</w:t>
            </w:r>
          </w:p>
        </w:tc>
        <w:tc>
          <w:tcPr>
            <w:tcW w:type="dxa" w:w="1600"/>
            <w:shd w:fill="EAF0FA" w:val="clear"/>
            <w:vAlign w:val="center"/>
          </w:tcPr>
          <w:p>
            <w:r>
              <w:rPr>
                <w:sz w:val="19"/>
                <w:szCs w:val="19"/>
              </w:rPr>
              <w:t xml:space="preserve">All</w:t>
            </w:r>
          </w:p>
        </w:tc>
        <w:tc>
          <w:tcPr>
            <w:tcW w:type="dxa" w:w="2800"/>
            <w:shd w:fill="EAF0FA" w:val="clear"/>
            <w:vAlign w:val="center"/>
          </w:tcPr>
          <w:p>
            <w:r>
              <w:rPr>
                <w:sz w:val="19"/>
                <w:szCs w:val="19"/>
              </w:rPr>
              <w:t xml:space="preserve">Complete report draft; presentation draft</w:t>
            </w:r>
          </w:p>
        </w:tc>
      </w:tr>
      <w:tr>
        <w:trPr>
          <w:tblHeader w:val="false"/>
        </w:trPr>
        <w:tc>
          <w:tcPr>
            <w:tcW w:type="dxa" w:w="900"/>
            <w:vAlign w:val="center"/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5200"/>
            <w:vAlign w:val="center"/>
          </w:tcPr>
          <w:p>
            <w:r>
              <w:rPr>
                <w:sz w:val="19"/>
                <w:szCs w:val="19"/>
              </w:rPr>
              <w:t xml:space="preserve">Run Turnitin, fix any similarity issues; rehearse the demo end-to-end; peer-review each other's contribution statements and slides.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9"/>
                <w:szCs w:val="19"/>
              </w:rPr>
              <w:t xml:space="preserve">All</w:t>
            </w:r>
          </w:p>
        </w:tc>
        <w:tc>
          <w:tcPr>
            <w:tcW w:type="dxa" w:w="2800"/>
            <w:vAlign w:val="center"/>
          </w:tcPr>
          <w:p>
            <w:r>
              <w:rPr>
                <w:sz w:val="19"/>
                <w:szCs w:val="19"/>
              </w:rPr>
              <w:t xml:space="preserve">Turnitin report ≤20%; rehearsed demo</w:t>
            </w:r>
          </w:p>
        </w:tc>
      </w:tr>
      <w:tr>
        <w:trPr>
          <w:tblHeader w:val="false"/>
        </w:trPr>
        <w:tc>
          <w:tcPr>
            <w:tcW w:type="dxa" w:w="900"/>
            <w:shd w:fill="EAF0FA" w:val="clear"/>
            <w:vAlign w:val="center"/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5200"/>
            <w:shd w:fill="EAF0FA" w:val="clear"/>
            <w:vAlign w:val="center"/>
          </w:tcPr>
          <w:p>
            <w:r>
              <w:rPr>
                <w:sz w:val="19"/>
                <w:szCs w:val="19"/>
              </w:rPr>
              <w:t xml:space="preserve">Final polish, proofread, confirm GitHub commit history is complete and even; submit report, code link, contribution statements, and presentation via Canvas.</w:t>
            </w:r>
          </w:p>
        </w:tc>
        <w:tc>
          <w:tcPr>
            <w:tcW w:type="dxa" w:w="1600"/>
            <w:shd w:fill="EAF0FA" w:val="clear"/>
            <w:vAlign w:val="center"/>
          </w:tcPr>
          <w:p>
            <w:r>
              <w:rPr>
                <w:sz w:val="19"/>
                <w:szCs w:val="19"/>
              </w:rPr>
              <w:t xml:space="preserve">All</w:t>
            </w:r>
          </w:p>
        </w:tc>
        <w:tc>
          <w:tcPr>
            <w:tcW w:type="dxa" w:w="2800"/>
            <w:shd w:fill="EAF0FA" w:val="clear"/>
            <w:vAlign w:val="center"/>
          </w:tcPr>
          <w:p>
            <w:r>
              <w:rPr>
                <w:sz w:val="19"/>
                <w:szCs w:val="19"/>
              </w:rPr>
              <w:t xml:space="preserve">Final submission complete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2F5496"/>
        </w:rPr>
        <w:t xml:space="preserve">Phase-by-phase detail</w:t>
      </w:r>
    </w:p>
    <w:p>
      <w:pPr>
        <w:pStyle w:val="Heading2"/>
        <w:spacing w:after="100" w:before="200"/>
      </w:pPr>
      <w:r>
        <w:rPr>
          <w:b/>
          <w:bCs/>
        </w:rPr>
        <w:t xml:space="preserve">Phase A — Finish the system (Weeks 1-5)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Goal: </w:t>
      </w:r>
      <w:r>
        <w:rPr>
          <w:i/>
          <w:iCs/>
          <w:sz w:val="21"/>
          <w:szCs w:val="21"/>
        </w:rPr>
        <w:t xml:space="preserve">Reach a stable, feature-complete prototype across P1, P2, and P3 that satisfies all 9 requirements.</w:t>
      </w:r>
    </w:p>
    <w:p>
      <w:pPr>
        <w:spacing w:after="60"/>
        <w:ind w:left="360"/>
      </w:pPr>
      <w:r>
        <w:rPr>
          <w:sz w:val="21"/>
          <w:szCs w:val="21"/>
        </w:rPr>
        <w:t xml:space="preserve">•  </w:t>
      </w:r>
      <w:r>
        <w:rPr>
          <w:sz w:val="21"/>
          <w:szCs w:val="21"/>
        </w:rPr>
        <w:t xml:space="preserve">Close out the Phase 1 leftovers first (images, remove-from-cart, account/security) so the GUI doesn't block later testing.</w:t>
      </w:r>
    </w:p>
    <w:p>
      <w:pPr>
        <w:spacing w:after="60"/>
        <w:ind w:left="360"/>
      </w:pPr>
      <w:r>
        <w:rPr>
          <w:sz w:val="21"/>
          <w:szCs w:val="21"/>
        </w:rPr>
        <w:t xml:space="preserve">•  </w:t>
      </w:r>
      <w:r>
        <w:rPr>
          <w:sz w:val="21"/>
          <w:szCs w:val="21"/>
        </w:rPr>
        <w:t xml:space="preserve">Implement the two failure-injection toggles and the reliability requirements (Req 6-9) together, since they share the same exception-handling and reconnection logic.</w:t>
      </w:r>
    </w:p>
    <w:p>
      <w:pPr>
        <w:spacing w:after="60"/>
        <w:ind w:left="360"/>
      </w:pPr>
      <w:r>
        <w:rPr>
          <w:sz w:val="21"/>
          <w:szCs w:val="21"/>
        </w:rPr>
        <w:t xml:space="preserve">•  </w:t>
      </w:r>
      <w:r>
        <w:rPr>
          <w:sz w:val="21"/>
          <w:szCs w:val="21"/>
        </w:rPr>
        <w:t xml:space="preserve">Connect P2's load generator output directly into P3's regression store, retiring the manual console export step.</w:t>
      </w:r>
    </w:p>
    <w:p>
      <w:pPr>
        <w:spacing w:after="60"/>
        <w:ind w:left="360"/>
      </w:pPr>
      <w:r>
        <w:rPr>
          <w:sz w:val="21"/>
          <w:szCs w:val="21"/>
        </w:rPr>
        <w:t xml:space="preserve">•  </w:t>
      </w:r>
      <w:r>
        <w:rPr>
          <w:sz w:val="21"/>
          <w:szCs w:val="21"/>
        </w:rPr>
        <w:t xml:space="preserve">Stand up GitHub Actions early (even just 'build succeeds') so it's mature by the time automated tests need to run in it.</w:t>
      </w:r>
    </w:p>
    <w:p>
      <w:pPr>
        <w:pStyle w:val="Heading2"/>
        <w:spacing w:after="100" w:before="200"/>
      </w:pPr>
      <w:r>
        <w:rPr>
          <w:b/>
          <w:bCs/>
        </w:rPr>
        <w:t xml:space="preserve">Phase B — Test, automate, and measure (Weeks 6-8)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Goal: </w:t>
      </w:r>
      <w:r>
        <w:rPr>
          <w:i/>
          <w:iCs/>
          <w:sz w:val="21"/>
          <w:szCs w:val="21"/>
        </w:rPr>
        <w:t xml:space="preserve">Produce real, executed evidence: 15+ test cases, an updated traceability matrix, automated tests, quality testing, defect RCA, and metrics.</w:t>
      </w:r>
    </w:p>
    <w:p>
      <w:pPr>
        <w:spacing w:after="60"/>
        <w:ind w:left="360"/>
      </w:pPr>
      <w:r>
        <w:rPr>
          <w:sz w:val="21"/>
          <w:szCs w:val="21"/>
        </w:rPr>
        <w:t xml:space="preserve">•  </w:t>
      </w:r>
      <w:r>
        <w:rPr>
          <w:sz w:val="21"/>
          <w:szCs w:val="21"/>
        </w:rPr>
        <w:t xml:space="preserve">Update the traceability matrix as each test is actually run, not all at once at the end — it's easier to keep accurate that way.</w:t>
      </w:r>
    </w:p>
    <w:p>
      <w:pPr>
        <w:spacing w:after="60"/>
        <w:ind w:left="360"/>
      </w:pPr>
      <w:r>
        <w:rPr>
          <w:sz w:val="21"/>
          <w:szCs w:val="21"/>
        </w:rPr>
        <w:t xml:space="preserve">•  </w:t>
      </w:r>
      <w:r>
        <w:rPr>
          <w:sz w:val="21"/>
          <w:szCs w:val="21"/>
        </w:rPr>
        <w:t xml:space="preserve">Pick automation candidates based on what's already MSTest-covered (P2) and extend the same pattern to P1/P3 where practical.</w:t>
      </w:r>
    </w:p>
    <w:p>
      <w:pPr>
        <w:spacing w:after="60"/>
        <w:ind w:left="360"/>
      </w:pPr>
      <w:r>
        <w:rPr>
          <w:sz w:val="21"/>
          <w:szCs w:val="21"/>
        </w:rPr>
        <w:t xml:space="preserve">•  </w:t>
      </w:r>
      <w:r>
        <w:rPr>
          <w:sz w:val="21"/>
          <w:szCs w:val="21"/>
        </w:rPr>
        <w:t xml:space="preserve">Choose quality-testing areas that map to the risk table already in the mid-project report (performance and reliability are the strongest fits).</w:t>
      </w:r>
    </w:p>
    <w:p>
      <w:pPr>
        <w:spacing w:after="60"/>
        <w:ind w:left="360"/>
      </w:pPr>
      <w:r>
        <w:rPr>
          <w:sz w:val="21"/>
          <w:szCs w:val="21"/>
        </w:rPr>
        <w:t xml:space="preserve">•  </w:t>
      </w:r>
      <w:r>
        <w:rPr>
          <w:sz w:val="21"/>
          <w:szCs w:val="21"/>
        </w:rPr>
        <w:t xml:space="preserve">Do root cause analysis on defects as they're found — the Copilot rolling-mean bug and scope-narrowing pattern are ready-made examples to formalise.</w:t>
      </w:r>
    </w:p>
    <w:p>
      <w:pPr>
        <w:pStyle w:val="Heading2"/>
        <w:spacing w:after="100" w:before="200"/>
      </w:pPr>
      <w:r>
        <w:rPr>
          <w:b/>
          <w:bCs/>
        </w:rPr>
        <w:t xml:space="preserve">Phase C — Write, present, and submit (Weeks 9-12)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Goal: </w:t>
      </w:r>
      <w:r>
        <w:rPr>
          <w:i/>
          <w:iCs/>
          <w:sz w:val="21"/>
          <w:szCs w:val="21"/>
        </w:rPr>
        <w:t xml:space="preserve">Turn the working system and evidence collected above into the final report, slides, and a rehearsed demo.</w:t>
      </w:r>
    </w:p>
    <w:p>
      <w:pPr>
        <w:spacing w:after="60"/>
        <w:ind w:left="360"/>
      </w:pPr>
      <w:r>
        <w:rPr>
          <w:sz w:val="21"/>
          <w:szCs w:val="21"/>
        </w:rPr>
        <w:t xml:space="preserve">•  </w:t>
      </w:r>
      <w:r>
        <w:rPr>
          <w:sz w:val="21"/>
          <w:szCs w:val="21"/>
        </w:rPr>
        <w:t xml:space="preserve">Draft each report section as soon as its evidence exists (e.g. write the metrics section right after Phase B, not from memory in week 10).</w:t>
      </w:r>
    </w:p>
    <w:p>
      <w:pPr>
        <w:spacing w:after="60"/>
        <w:ind w:left="360"/>
      </w:pPr>
      <w:r>
        <w:rPr>
          <w:sz w:val="21"/>
          <w:szCs w:val="21"/>
        </w:rPr>
        <w:t xml:space="preserve">•  </w:t>
      </w:r>
      <w:r>
        <w:rPr>
          <w:sz w:val="21"/>
          <w:szCs w:val="21"/>
        </w:rPr>
        <w:t xml:space="preserve">Split the 15 slides across the team early so each member owns explaining their own section in the demo.</w:t>
      </w:r>
    </w:p>
    <w:p>
      <w:pPr>
        <w:spacing w:after="60"/>
        <w:ind w:left="360"/>
      </w:pPr>
      <w:r>
        <w:rPr>
          <w:sz w:val="21"/>
          <w:szCs w:val="21"/>
        </w:rPr>
        <w:t xml:space="preserve">•  </w:t>
      </w:r>
      <w:r>
        <w:rPr>
          <w:sz w:val="21"/>
          <w:szCs w:val="21"/>
        </w:rPr>
        <w:t xml:space="preserve">Run Turnitin with enough time (week 11) to actually revise the report if similarity comes back high.</w:t>
      </w:r>
    </w:p>
    <w:p>
      <w:pPr>
        <w:spacing w:after="60"/>
        <w:ind w:left="360"/>
      </w:pPr>
      <w:r>
        <w:rPr>
          <w:sz w:val="21"/>
          <w:szCs w:val="21"/>
        </w:rPr>
        <w:t xml:space="preserve">•  </w:t>
      </w:r>
      <w:r>
        <w:rPr>
          <w:sz w:val="21"/>
          <w:szCs w:val="21"/>
        </w:rPr>
        <w:t xml:space="preserve">Reserve week 12 purely for proofreading, commit-history sanity checks, and Canvas submission — no new work.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2026-09-20T10:27:18.776Z</dcterms:created>
  <dcterms:modified xsi:type="dcterms:W3CDTF">2026-09-20T10:27:18.776Z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