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InspectionBrick: Scaling and Funding Scenarios</w:t>
      </w:r>
    </w:p>
    <w:p>
      <w:r>
        <w:t>As InspectionBrick grows and customer orders increase (e.g., 100–200+ units), consider these funding strategies for production and scale. Each has tradeoffs. This document summarizes your options, risks, and best practices.</w:t>
      </w:r>
    </w:p>
    <w:p>
      <w:pPr>
        <w:pStyle w:val="Heading1"/>
      </w:pPr>
      <w:r>
        <w:t>1. Self-Funding (Bootstrap)</w:t>
      </w:r>
    </w:p>
    <w:p>
      <w:r>
        <w:t>• Fund the batch from personal savings or business revenue.</w:t>
        <w:br/>
        <w:t>• All risk, but keep 100% ownership and control.</w:t>
        <w:br/>
        <w:t>• Best when:</w:t>
        <w:br/>
        <w:t xml:space="preserve">   – The investment is manageable ($20–30K).</w:t>
        <w:br/>
        <w:t xml:space="preserve">   – Customer order is real (signed PO, deposit).</w:t>
        <w:br/>
        <w:t xml:space="preserve">   – You want to move fast and avoid dilution.</w:t>
      </w:r>
    </w:p>
    <w:p>
      <w:pPr>
        <w:pStyle w:val="Heading1"/>
      </w:pPr>
      <w:r>
        <w:t>2. Bank Loan (Debt)</w:t>
      </w:r>
    </w:p>
    <w:p>
      <w:r>
        <w:t>• Take a business loan or use a line of credit.</w:t>
        <w:br/>
        <w:t>• You keep full ownership; risk is repaying loan if sales lag.</w:t>
        <w:br/>
        <w:t>• Best when:</w:t>
        <w:br/>
        <w:t xml:space="preserve">   – Order is large, payment terms are clear.</w:t>
        <w:br/>
        <w:t xml:space="preserve">   – You have good credit/access to low-interest debt.</w:t>
        <w:br/>
        <w:t xml:space="preserve">   – Loan is used only for working capital (inventory/production).</w:t>
      </w:r>
    </w:p>
    <w:p>
      <w:pPr>
        <w:pStyle w:val="Heading1"/>
      </w:pPr>
      <w:r>
        <w:t>3. Equity Investment (Outside Investors)</w:t>
      </w:r>
    </w:p>
    <w:p>
      <w:r>
        <w:t>• Bring on an investor or co-founder in exchange for a share of the business.</w:t>
        <w:br/>
        <w:t>• Reduces personal risk, can accelerate growth if investor brings connections.</w:t>
        <w:br/>
        <w:t>• But: You give up a % of long-term upside and control.</w:t>
        <w:br/>
        <w:t>• Best when:</w:t>
        <w:br/>
        <w:t xml:space="preserve">   – Demand is truly exploding (500–1000+ units or large pipeline).</w:t>
        <w:br/>
        <w:t xml:space="preserve">   – You want strategic help scaling (distribution, hiring, etc.).</w:t>
        <w:br/>
        <w:t xml:space="preserve">   – You’re aiming for venture-scale growth.</w:t>
      </w:r>
    </w:p>
    <w:p>
      <w:pPr>
        <w:pStyle w:val="Heading1"/>
      </w:pPr>
      <w:r>
        <w:t>4. Customer Pre-Payment / Financing</w:t>
      </w:r>
    </w:p>
    <w:p>
      <w:r>
        <w:t>• Customer pays a deposit, milestone, or up-front for their units.</w:t>
        <w:br/>
        <w:t>• De-risks production, no dilution, no debt.</w:t>
        <w:br/>
        <w:t>• Harder to negotiate, but shows real market demand.</w:t>
        <w:br/>
        <w:t>• Best when:</w:t>
        <w:br/>
        <w:t xml:space="preserve">   – Customer is highly motivated and has budget.</w:t>
        <w:br/>
        <w:t xml:space="preserve">   – Relationship is strong or the need is urgent.</w:t>
      </w:r>
    </w:p>
    <w:p>
      <w:pPr>
        <w:pStyle w:val="Heading1"/>
      </w:pPr>
      <w:r>
        <w:t>5.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Ownership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Speed</w:t>
            </w:r>
          </w:p>
        </w:tc>
        <w:tc>
          <w:tcPr>
            <w:tcW w:type="dxa" w:w="1728"/>
          </w:tcPr>
          <w:p>
            <w:r>
              <w:t>Best For</w:t>
            </w:r>
          </w:p>
        </w:tc>
      </w:tr>
      <w:tr>
        <w:tc>
          <w:tcPr>
            <w:tcW w:type="dxa" w:w="1728"/>
          </w:tcPr>
          <w:p>
            <w:r>
              <w:t>Self-fund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High (all on you)</w:t>
            </w:r>
          </w:p>
        </w:tc>
        <w:tc>
          <w:tcPr>
            <w:tcW w:type="dxa" w:w="1728"/>
          </w:tcPr>
          <w:p>
            <w:r>
              <w:t>Fast</w:t>
            </w:r>
          </w:p>
        </w:tc>
        <w:tc>
          <w:tcPr>
            <w:tcW w:type="dxa" w:w="1728"/>
          </w:tcPr>
          <w:p>
            <w:r>
              <w:t>Small–medium batches</w:t>
            </w:r>
          </w:p>
        </w:tc>
      </w:tr>
      <w:tr>
        <w:tc>
          <w:tcPr>
            <w:tcW w:type="dxa" w:w="1728"/>
          </w:tcPr>
          <w:p>
            <w:r>
              <w:t>Bank loan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Fast</w:t>
            </w:r>
          </w:p>
        </w:tc>
        <w:tc>
          <w:tcPr>
            <w:tcW w:type="dxa" w:w="1728"/>
          </w:tcPr>
          <w:p>
            <w:r>
              <w:t>PO in hand, working capital</w:t>
            </w:r>
          </w:p>
        </w:tc>
      </w:tr>
      <w:tr>
        <w:tc>
          <w:tcPr>
            <w:tcW w:type="dxa" w:w="1728"/>
          </w:tcPr>
          <w:p>
            <w:r>
              <w:t>Investor/equity</w:t>
            </w:r>
          </w:p>
        </w:tc>
        <w:tc>
          <w:tcPr>
            <w:tcW w:type="dxa" w:w="1728"/>
          </w:tcPr>
          <w:p>
            <w:r>
              <w:t>Shared</w:t>
            </w:r>
          </w:p>
        </w:tc>
        <w:tc>
          <w:tcPr>
            <w:tcW w:type="dxa" w:w="1728"/>
          </w:tcPr>
          <w:p>
            <w:r>
              <w:t>Lower (shared)</w:t>
            </w:r>
          </w:p>
        </w:tc>
        <w:tc>
          <w:tcPr>
            <w:tcW w:type="dxa" w:w="1728"/>
          </w:tcPr>
          <w:p>
            <w:r>
              <w:t>Fast*</w:t>
            </w:r>
          </w:p>
        </w:tc>
        <w:tc>
          <w:tcPr>
            <w:tcW w:type="dxa" w:w="1728"/>
          </w:tcPr>
          <w:p>
            <w:r>
              <w:t>Exploding demand, scaling</w:t>
            </w:r>
          </w:p>
        </w:tc>
      </w:tr>
      <w:tr>
        <w:tc>
          <w:tcPr>
            <w:tcW w:type="dxa" w:w="1728"/>
          </w:tcPr>
          <w:p>
            <w:r>
              <w:t>Customer pre-pay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Very low</w:t>
            </w:r>
          </w:p>
        </w:tc>
        <w:tc>
          <w:tcPr>
            <w:tcW w:type="dxa" w:w="1728"/>
          </w:tcPr>
          <w:p>
            <w:r>
              <w:t>Fast</w:t>
            </w:r>
          </w:p>
        </w:tc>
        <w:tc>
          <w:tcPr>
            <w:tcW w:type="dxa" w:w="1728"/>
          </w:tcPr>
          <w:p>
            <w:r>
              <w:t>Strong, motivated buyer</w:t>
            </w:r>
          </w:p>
        </w:tc>
      </w:tr>
    </w:tbl>
    <w:p>
      <w:pPr>
        <w:pStyle w:val="Heading1"/>
      </w:pPr>
      <w:r>
        <w:t>6. Founder Playbook: When to Choose Each Path</w:t>
      </w:r>
    </w:p>
    <w:p>
      <w:r>
        <w:t>1. If the order is &lt;$30K and you can afford it, self-fund—if the PO is real and customer has skin in the game.</w:t>
        <w:br/>
        <w:t>2. For larger orders, ask the customer for a deposit or milestone payment.</w:t>
        <w:br/>
        <w:t>3. If that’s not possible and you can’t self-fund, use a line of credit or short-term loan.</w:t>
        <w:br/>
        <w:t>4. Only bring in outside investors for large, strategic growth, not for funding a single batch.</w:t>
      </w:r>
    </w:p>
    <w:p>
      <w:r>
        <w:t>Customer-funded growth is always best. Whatever you choose, focus on maintaining control, learning fast, and aligning incentives for sustainable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