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InspectionBrick Break-even Scenarios</w:t>
      </w:r>
    </w:p>
    <w:p>
      <w:pPr>
        <w:pStyle w:val="Heading1"/>
      </w:pPr>
      <w:r>
        <w:t>1. Introduction</w:t>
      </w:r>
    </w:p>
    <w:p>
      <w:r>
        <w:t>Break-even is the point where your total revenue equals your total costs. In a classic hardware business, this usually means covering both fixed (e.g., R&amp;D, tooling) and variable costs (cost per unit). For InspectionBrick, break-even looks different depending on scale and phase:</w:t>
      </w:r>
    </w:p>
    <w:p>
      <w:pPr>
        <w:pStyle w:val="Heading1"/>
      </w:pPr>
      <w:r>
        <w:t>2. Scenario 1: Bootstrapped (Today, &lt;100 units, off-the-shelf)</w:t>
      </w:r>
    </w:p>
    <w:p>
      <w:r>
        <w:t>• Hardware is built using off-the-shelf GIGA and display modules. There are no significant fixed costs, and any R&amp;D is already paid (sweat equity).</w:t>
        <w:br/>
        <w:t>• Every sale is immediately profitable: gross profit per unit is the selling price minus the direct bill of materials (BOM) and assembly.</w:t>
        <w:br/>
        <w:t>• Example numbers: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Sale Price</w:t>
            </w:r>
          </w:p>
        </w:tc>
        <w:tc>
          <w:tcPr>
            <w:tcW w:type="dxa" w:w="2160"/>
          </w:tcPr>
          <w:p>
            <w:r>
              <w:t>Profit per Unit</w:t>
            </w:r>
          </w:p>
        </w:tc>
        <w:tc>
          <w:tcPr>
            <w:tcW w:type="dxa" w:w="2160"/>
          </w:tcPr>
          <w:p>
            <w:r>
              <w:t>MRR per Unit</w:t>
            </w:r>
          </w:p>
        </w:tc>
      </w:tr>
      <w:tr>
        <w:tc>
          <w:tcPr>
            <w:tcW w:type="dxa" w:w="2160"/>
          </w:tcPr>
          <w:p>
            <w:r>
              <w:t>$170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$130</w:t>
            </w:r>
          </w:p>
        </w:tc>
        <w:tc>
          <w:tcPr>
            <w:tcW w:type="dxa" w:w="2160"/>
          </w:tcPr>
          <w:p>
            <w:r>
              <w:t>$10/month</w:t>
            </w:r>
          </w:p>
        </w:tc>
      </w:tr>
    </w:tbl>
    <w:p>
      <w:r>
        <w:t>• No real break-even point: every device sold is profitable from day one. The only risk is unsold inventory.</w:t>
      </w:r>
    </w:p>
    <w:p>
      <w:pPr>
        <w:pStyle w:val="Heading1"/>
      </w:pPr>
      <w:r>
        <w:t>3. Scenario 2: Volume (200–500 units, semi-custom hardware, bulk buy)</w:t>
      </w:r>
    </w:p>
    <w:p>
      <w:r>
        <w:t>• At higher volume, you move to semi-custom hardware (custom PCB, bulk displays) and invest in some engineering (NRE), certifications, or tooling.</w:t>
        <w:br/>
        <w:t>• Typical fixed costs: $20,000–$50,000 for R&amp;D, design, certs.</w:t>
        <w:br/>
        <w:t>• Improved margin due to lower BOM with bulk buy/custom design (e.g., $140/unit).</w:t>
        <w:br/>
        <w:t>• Example break-even calculation (assuming $130 profit per unit and $30,000 fixed cost):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Fixed Cost</w:t>
            </w:r>
          </w:p>
        </w:tc>
        <w:tc>
          <w:tcPr>
            <w:tcW w:type="dxa" w:w="2880"/>
          </w:tcPr>
          <w:p>
            <w:r>
              <w:t>Profit per Unit</w:t>
            </w:r>
          </w:p>
        </w:tc>
        <w:tc>
          <w:tcPr>
            <w:tcW w:type="dxa" w:w="2880"/>
          </w:tcPr>
          <w:p>
            <w:r>
              <w:t>Break-even Units</w:t>
            </w:r>
          </w:p>
        </w:tc>
      </w:tr>
      <w:tr>
        <w:tc>
          <w:tcPr>
            <w:tcW w:type="dxa" w:w="2880"/>
          </w:tcPr>
          <w:p>
            <w:r>
              <w:t>$30,000</w:t>
            </w:r>
          </w:p>
        </w:tc>
        <w:tc>
          <w:tcPr>
            <w:tcW w:type="dxa" w:w="2880"/>
          </w:tcPr>
          <w:p>
            <w:r>
              <w:t>$130</w:t>
            </w:r>
          </w:p>
        </w:tc>
        <w:tc>
          <w:tcPr>
            <w:tcW w:type="dxa" w:w="2880"/>
          </w:tcPr>
          <w:p>
            <w:r>
              <w:t>231</w:t>
            </w:r>
          </w:p>
        </w:tc>
      </w:tr>
    </w:tbl>
    <w:p>
      <w:r>
        <w:t>• Break-even = Fixed Cost / Profit per Unit = $30,000 / $130 ≈ 231 units.</w:t>
        <w:br/>
        <w:t>• MRR scales with volume: e.g., 200 units = $2,000/month recurring.</w:t>
      </w:r>
    </w:p>
    <w:p>
      <w:pPr>
        <w:pStyle w:val="Heading1"/>
      </w:pPr>
      <w:r>
        <w:t>4. Scenario 3: Scale (1000+ units, own hardware)</w:t>
      </w:r>
    </w:p>
    <w:p>
      <w:r>
        <w:t>• Full custom hardware, tooling, certifications, and bulk purchasing.</w:t>
        <w:br/>
        <w:t>• Significant up-front investment (e.g., $75,000–$150,000) but lowest per-unit cost (e.g., $120/unit, profit $180/unit).</w:t>
        <w:br/>
        <w:t>• Example break-even calculation (using $100,000 fixed and $180/unit profit):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Fixed Cost</w:t>
            </w:r>
          </w:p>
        </w:tc>
        <w:tc>
          <w:tcPr>
            <w:tcW w:type="dxa" w:w="2880"/>
          </w:tcPr>
          <w:p>
            <w:r>
              <w:t>Profit per Unit</w:t>
            </w:r>
          </w:p>
        </w:tc>
        <w:tc>
          <w:tcPr>
            <w:tcW w:type="dxa" w:w="2880"/>
          </w:tcPr>
          <w:p>
            <w:r>
              <w:t>Break-even Units</w:t>
            </w:r>
          </w:p>
        </w:tc>
      </w:tr>
      <w:tr>
        <w:tc>
          <w:tcPr>
            <w:tcW w:type="dxa" w:w="2880"/>
          </w:tcPr>
          <w:p>
            <w:r>
              <w:t>$100,000</w:t>
            </w:r>
          </w:p>
        </w:tc>
        <w:tc>
          <w:tcPr>
            <w:tcW w:type="dxa" w:w="2880"/>
          </w:tcPr>
          <w:p>
            <w:r>
              <w:t>$180</w:t>
            </w:r>
          </w:p>
        </w:tc>
        <w:tc>
          <w:tcPr>
            <w:tcW w:type="dxa" w:w="2880"/>
          </w:tcPr>
          <w:p>
            <w:r>
              <w:t>556</w:t>
            </w:r>
          </w:p>
        </w:tc>
      </w:tr>
    </w:tbl>
    <w:p>
      <w:r>
        <w:t>• Break-even = $100,000 / $180 ≈ 556 units.</w:t>
        <w:br/>
        <w:t>• MRR at this scale: 1000 units = $10,000/month recurring.</w:t>
      </w:r>
    </w:p>
    <w:p>
      <w:pPr>
        <w:pStyle w:val="Heading1"/>
      </w:pPr>
      <w:r>
        <w:t>5.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Unit Cost</w:t>
            </w:r>
          </w:p>
        </w:tc>
        <w:tc>
          <w:tcPr>
            <w:tcW w:type="dxa" w:w="1440"/>
          </w:tcPr>
          <w:p>
            <w:r>
              <w:t>Fixed Cost</w:t>
            </w:r>
          </w:p>
        </w:tc>
        <w:tc>
          <w:tcPr>
            <w:tcW w:type="dxa" w:w="1440"/>
          </w:tcPr>
          <w:p>
            <w:r>
              <w:t>Profit/Unit</w:t>
            </w:r>
          </w:p>
        </w:tc>
        <w:tc>
          <w:tcPr>
            <w:tcW w:type="dxa" w:w="1440"/>
          </w:tcPr>
          <w:p>
            <w:r>
              <w:t>Break-even Units</w:t>
            </w:r>
          </w:p>
        </w:tc>
        <w:tc>
          <w:tcPr>
            <w:tcW w:type="dxa" w:w="1440"/>
          </w:tcPr>
          <w:p>
            <w:r>
              <w:t>MRR (at scale)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Bootstrap (&lt;100)</w:t>
            </w:r>
          </w:p>
        </w:tc>
        <w:tc>
          <w:tcPr>
            <w:tcW w:type="dxa" w:w="1440"/>
          </w:tcPr>
          <w:p>
            <w:r>
              <w:t>$170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$130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$10 x units</w:t>
            </w:r>
          </w:p>
        </w:tc>
      </w:tr>
      <w:tr>
        <w:tc>
          <w:tcPr>
            <w:tcW w:type="dxa" w:w="1440"/>
          </w:tcPr>
          <w:p>
            <w:r>
              <w:t>Volume (200–500)</w:t>
            </w:r>
          </w:p>
        </w:tc>
        <w:tc>
          <w:tcPr>
            <w:tcW w:type="dxa" w:w="1440"/>
          </w:tcPr>
          <w:p>
            <w:r>
              <w:t>$140</w:t>
            </w:r>
          </w:p>
        </w:tc>
        <w:tc>
          <w:tcPr>
            <w:tcW w:type="dxa" w:w="1440"/>
          </w:tcPr>
          <w:p>
            <w:r>
              <w:t>$30,000</w:t>
            </w:r>
          </w:p>
        </w:tc>
        <w:tc>
          <w:tcPr>
            <w:tcW w:type="dxa" w:w="1440"/>
          </w:tcPr>
          <w:p>
            <w:r>
              <w:t>$130</w:t>
            </w:r>
          </w:p>
        </w:tc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$2,000+</w:t>
            </w:r>
          </w:p>
        </w:tc>
      </w:tr>
      <w:tr>
        <w:tc>
          <w:tcPr>
            <w:tcW w:type="dxa" w:w="1440"/>
          </w:tcPr>
          <w:p>
            <w:r>
              <w:t>Scale (1000+)</w:t>
            </w:r>
          </w:p>
        </w:tc>
        <w:tc>
          <w:tcPr>
            <w:tcW w:type="dxa" w:w="1440"/>
          </w:tcPr>
          <w:p>
            <w:r>
              <w:t>$120</w:t>
            </w:r>
          </w:p>
        </w:tc>
        <w:tc>
          <w:tcPr>
            <w:tcW w:type="dxa" w:w="1440"/>
          </w:tcPr>
          <w:p>
            <w:r>
              <w:t>$100,000</w:t>
            </w:r>
          </w:p>
        </w:tc>
        <w:tc>
          <w:tcPr>
            <w:tcW w:type="dxa" w:w="1440"/>
          </w:tcPr>
          <w:p>
            <w:r>
              <w:t>$180</w:t>
            </w:r>
          </w:p>
        </w:tc>
        <w:tc>
          <w:tcPr>
            <w:tcW w:type="dxa" w:w="1440"/>
          </w:tcPr>
          <w:p>
            <w:r>
              <w:t>556</w:t>
            </w:r>
          </w:p>
        </w:tc>
        <w:tc>
          <w:tcPr>
            <w:tcW w:type="dxa" w:w="1440"/>
          </w:tcPr>
          <w:p>
            <w:r>
              <w:t>$10,000+</w:t>
            </w:r>
          </w:p>
        </w:tc>
      </w:tr>
    </w:tbl>
    <w:p>
      <w:r>
        <w:t>• In early phases, break-even is immediate (every sale = profit). At higher volume, classic break-even matters due to upfront investment.</w:t>
        <w:br/>
        <w:t>• MRR grows with deployed base and is the primary long-term value driver.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