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моделей SIR и Лотки–Вольтерры на языке Julia, используя литературное программирование.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5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(Kermack &amp; McKendrick, 1927) делит популяцию на три группы:</w:t>
      </w:r>
      <w:r>
        <w:t xml:space="preserve"> </w:t>
      </w: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болезни (здоровые, но могут заразиться);</w:t>
      </w:r>
      <w:r>
        <w:t xml:space="preserve"> </w:t>
      </w: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и заразные (активно болеют и передают инфекцию);</w:t>
      </w:r>
      <w:r>
        <w:t xml:space="preserve"> </w:t>
      </w:r>
      <w:r>
        <w:rPr>
          <w:b/>
          <w:bCs/>
        </w:rPr>
        <w:t xml:space="preserve">R (Recovered)</w:t>
      </w:r>
      <w:r>
        <w:t xml:space="preserve"> </w:t>
      </w:r>
      <w:r>
        <w:t xml:space="preserve">— переболевшие и имеющие иммунитет (или удаленные из процесса, включая умерших).</w:t>
      </w:r>
    </w:p>
    <w:bookmarkStart w:id="22" w:name="основные-допущения-модели"/>
    <w:p>
      <w:pPr>
        <w:pStyle w:val="Heading3"/>
      </w:pPr>
      <w:r>
        <w:t xml:space="preserve">3.1.1 Основные допущения модели</w:t>
      </w:r>
    </w:p>
    <w:p>
      <w:pPr>
        <w:pStyle w:val="FirstParagraph"/>
      </w:pPr>
      <w:r>
        <w:t xml:space="preserve">Популяция закрыта (нет рождений, смертей и миграции): N = S + I + R = const.</w:t>
      </w:r>
      <w:r>
        <w:t xml:space="preserve"> </w:t>
      </w:r>
      <w:r>
        <w:t xml:space="preserve">Однородное смешение: каждый восприимчивый имеет равные шансы встретить заразного.</w:t>
      </w:r>
      <w:r>
        <w:t xml:space="preserve"> </w:t>
      </w:r>
      <w:r>
        <w:t xml:space="preserve">Постоянные параметры: заразность (β) и скорость выздоровления (γ) не меняются.</w:t>
      </w:r>
      <w:r>
        <w:t xml:space="preserve"> </w:t>
      </w:r>
      <w:r>
        <w:t xml:space="preserve">Отсутствие латентного периода: после заражения человек сразу становится заразным.</w:t>
      </w:r>
      <w:r>
        <w:t xml:space="preserve"> </w:t>
      </w:r>
      <w:r>
        <w:t xml:space="preserve">Пожизненный иммунитет: переболевшие больше не заражаются.</w:t>
      </w:r>
    </w:p>
    <w:bookmarkEnd w:id="22"/>
    <w:bookmarkStart w:id="23" w:name="трёхпараметрическая-форма-модели"/>
    <w:p>
      <w:pPr>
        <w:pStyle w:val="Heading3"/>
      </w:pPr>
      <w:r>
        <w:t xml:space="preserve">3.1.2 Трёхпараметрическая форма модели</w:t>
      </w:r>
    </w:p>
    <w:p>
      <w:pPr>
        <w:pStyle w:val="FirstParagraph"/>
      </w:pPr>
      <w:r>
        <w:t xml:space="preserve">В данной реализации используется декомпозиция параметра заразности: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— вероятность передачи инфекции</w:t>
      </w:r>
      <w:r>
        <w:t xml:space="preserve"> </w:t>
      </w:r>
      <w:r>
        <w:rPr>
          <w:b/>
          <w:bCs/>
        </w:rPr>
        <w:t xml:space="preserve">при одном контакте</w:t>
      </w:r>
      <w:r>
        <w:t xml:space="preserve"> </w:t>
      </w:r>
      <w:r>
        <w:t xml:space="preserve">(биологический фактор);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среднее число контактов одного человека в единицу времени (поведенческий фактор);</w:t>
      </w:r>
      <w:r>
        <w:t xml:space="preserve"> </w:t>
      </w:r>
      <w:r>
        <w:rPr>
          <w:b/>
          <w:bCs/>
        </w:rPr>
        <w:t xml:space="preserve">γ</w:t>
      </w:r>
      <w:r>
        <w:t xml:space="preserve"> </w:t>
      </w:r>
      <w:r>
        <w:t xml:space="preserve">— скорость выздоровления (1/γ — средняя продолжительность болезни).</w:t>
      </w:r>
    </w:p>
    <w:p>
      <w:pPr>
        <w:pStyle w:val="BodyText"/>
      </w:pPr>
      <w:r>
        <w:t xml:space="preserve">Система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bookmarkEnd w:id="23"/>
    <w:bookmarkStart w:id="24" w:name="ключевые-показатели"/>
    <w:p>
      <w:pPr>
        <w:pStyle w:val="Heading3"/>
      </w:pPr>
      <w:r>
        <w:t xml:space="preserve">3.1.3 Ключевые показатели</w:t>
      </w:r>
    </w:p>
    <w:p>
      <w:pPr>
        <w:pStyle w:val="FirstParagraph"/>
      </w:pPr>
      <w:r>
        <w:rPr>
          <w:b/>
          <w:bCs/>
        </w:rPr>
        <w:t xml:space="preserve">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t>β</m:t>
              </m:r>
            </m:num>
            <m:den>
              <m:r>
                <m:t>γ</m:t>
              </m:r>
            </m:den>
          </m:f>
        </m:oMath>
      </m:oMathPara>
    </w:p>
    <w:p>
      <w:pPr>
        <w:pStyle w:val="FirstParagraph"/>
      </w:pPr>
      <w:r>
        <w:t xml:space="preserve">Смысл: среднее число людей, которых заражает один больной за всё время болезни в полностью восприимчивой популяции.</w:t>
      </w:r>
      <w:r>
        <w:t xml:space="preserve"> </w:t>
      </w:r>
      <w:r>
        <w:t xml:space="preserve">(R_0 &gt; 1): эпидемия будет расти;</w:t>
      </w:r>
      <w:r>
        <w:t xml:space="preserve"> </w:t>
      </w:r>
      <w:r>
        <w:t xml:space="preserve">(R_0 &lt; 1): вспышка затухнет.</w:t>
      </w:r>
      <w:r>
        <w:t xml:space="preserve"> </w:t>
      </w:r>
      <w:r>
        <w:rPr>
          <w:b/>
          <w:bCs/>
        </w:rPr>
        <w:t xml:space="preserve">Порог коллективного иммунитета: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I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Доля популяции, которая должна иметь иммунитет, чтобы эпидемия не началась.</w:t>
      </w:r>
    </w:p>
    <w:bookmarkEnd w:id="24"/>
    <w:bookmarkEnd w:id="25"/>
    <w:bookmarkStart w:id="26" w:name="модель-лоткивольтерры"/>
    <w:p>
      <w:pPr>
        <w:pStyle w:val="Heading2"/>
      </w:pPr>
      <w:r>
        <w:t xml:space="preserve">3.2 Модель Лотки–Вольтерры</w:t>
      </w:r>
    </w:p>
    <w:p>
      <w:pPr>
        <w:pStyle w:val="FirstParagraph"/>
      </w:pPr>
      <w:r>
        <w:t xml:space="preserve">Модель Лотки-Вольтерры — это фундаментальная математическая модель в экологии, описывающая циклические колебания численности популяций хищников и жертв. Она была независимо предложена:</w:t>
      </w:r>
      <w:r>
        <w:t xml:space="preserve"> </w:t>
      </w:r>
      <w:r>
        <w:rPr>
          <w:b/>
          <w:bCs/>
        </w:rPr>
        <w:t xml:space="preserve">Альфредом Лоткой</w:t>
      </w:r>
      <w:r>
        <w:t xml:space="preserve"> </w:t>
      </w:r>
      <w:r>
        <w:t xml:space="preserve">(1925) для химических реакций;</w:t>
      </w:r>
      <w:r>
        <w:t xml:space="preserve"> </w:t>
      </w:r>
      <w:r>
        <w:rPr>
          <w:b/>
          <w:bCs/>
        </w:rPr>
        <w:t xml:space="preserve">Витторио Вольтеррой</w:t>
      </w:r>
      <w:r>
        <w:t xml:space="preserve"> </w:t>
      </w:r>
      <w:r>
        <w:t xml:space="preserve">(1926) для объяснения колебаний улова рыбы в Адриатическом море.</w:t>
      </w:r>
      <w:r>
        <w:t xml:space="preserve"> </w:t>
      </w:r>
      <w:r>
        <w:t xml:space="preserve">### Основные допущения модели</w:t>
      </w:r>
      <w:r>
        <w:t xml:space="preserve"> </w:t>
      </w:r>
      <w:r>
        <w:rPr>
          <w:b/>
          <w:bCs/>
        </w:rPr>
        <w:t xml:space="preserve">Закрытая система:</w:t>
      </w:r>
      <w:r>
        <w:t xml:space="preserve"> </w:t>
      </w:r>
      <w:r>
        <w:t xml:space="preserve">популяции изолированы, нет миграции.</w:t>
      </w:r>
      <w:r>
        <w:t xml:space="preserve"> </w:t>
      </w:r>
      <w:r>
        <w:rPr>
          <w:b/>
          <w:bCs/>
        </w:rPr>
        <w:t xml:space="preserve">Неограниченные ресурсы для жертв:</w:t>
      </w:r>
      <w:r>
        <w:t xml:space="preserve"> </w:t>
      </w:r>
      <w:r>
        <w:t xml:space="preserve">в отсутствие хищников жертвы растут экспоненциально.</w:t>
      </w:r>
      <w:r>
        <w:t xml:space="preserve"> </w:t>
      </w:r>
      <w:r>
        <w:rPr>
          <w:b/>
          <w:bCs/>
        </w:rPr>
        <w:t xml:space="preserve">Линейная функциональная реакция:</w:t>
      </w:r>
      <w:r>
        <w:t xml:space="preserve"> </w:t>
      </w:r>
      <w:r>
        <w:t xml:space="preserve">вероятность встречи хищника и жертвы пропорциональна произведению их численностей (закон массового действия).</w:t>
      </w:r>
      <w:r>
        <w:t xml:space="preserve"> </w:t>
      </w:r>
      <w:r>
        <w:rPr>
          <w:b/>
          <w:bCs/>
        </w:rPr>
        <w:t xml:space="preserve">Постоянные параметры:</w:t>
      </w:r>
      <w:r>
        <w:t xml:space="preserve"> </w:t>
      </w:r>
      <w:r>
        <w:t xml:space="preserve">коэффициенты взаимодействия не меняются во времени.</w:t>
      </w:r>
      <w:r>
        <w:t xml:space="preserve"> </w:t>
      </w:r>
      <w:r>
        <w:rPr>
          <w:b/>
          <w:bCs/>
        </w:rPr>
        <w:t xml:space="preserve">Отсутствие внутривидовой конкуренции:</w:t>
      </w:r>
      <w:r>
        <w:t xml:space="preserve"> </w:t>
      </w:r>
      <w:r>
        <w:t xml:space="preserve">нет конкуренции за ресурсы внутри вида.</w:t>
      </w:r>
      <w:r>
        <w:t xml:space="preserve"> </w:t>
      </w:r>
      <w:r>
        <w:rPr>
          <w:b/>
          <w:bCs/>
        </w:rPr>
        <w:t xml:space="preserve">Хищники питаются только жертвами:</w:t>
      </w:r>
      <w:r>
        <w:t xml:space="preserve"> </w:t>
      </w:r>
      <w:r>
        <w:t xml:space="preserve">нет альтернативных источников пищи.</w:t>
      </w:r>
      <w:r>
        <w:t xml:space="preserve"> </w:t>
      </w:r>
      <w:r>
        <w:t xml:space="preserve">### Математическая формализация</w:t>
      </w:r>
      <w:r>
        <w:t xml:space="preserve"> </w:t>
      </w:r>
      <w:r>
        <w:t xml:space="preserve">Система состоит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— численность популяции жертв (например, зайцы);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— численность популяции хищников (например, лисы);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α</w:t>
      </w:r>
      <w:r>
        <w:t xml:space="preserve"> </w:t>
      </w:r>
      <w:r>
        <w:t xml:space="preserve">(alpha) — коэффициент естественного прироста жертв (рождаемость);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(beta) — коэффициент поедания жертв хищниками (эффективность охоты);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δ</w:t>
      </w:r>
      <w:r>
        <w:t xml:space="preserve"> </w:t>
      </w:r>
      <w:r>
        <w:t xml:space="preserve">(delta) — коэффициент конверсии (эффективность превращения съеденных жертв в потомство хищников);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γ</w:t>
      </w:r>
      <w:r>
        <w:t xml:space="preserve"> </w:t>
      </w:r>
      <w:r>
        <w:t xml:space="preserve">(gamma) — коэффициент естественной смертности хищников.</w:t>
      </w:r>
      <w:r>
        <w:t xml:space="preserve"> </w:t>
      </w:r>
      <w:r>
        <w:t xml:space="preserve">### Стационарные точки (положения равновесия)</w:t>
      </w:r>
      <w:r>
        <w:t xml:space="preserve"> </w:t>
      </w:r>
      <w:r>
        <w:t xml:space="preserve">Система имеет две стационарные точки: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Тривиальное равновесие:</w:t>
      </w:r>
      <w:r>
        <w:t xml:space="preserve"> </w:t>
      </w:r>
      <w:r>
        <w:t xml:space="preserve">(x = 0, y = 0) — обе популяции вымирают.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Нетривиальное равновесие</w:t>
      </w:r>
      <w:r>
        <w:t xml:space="preserve"> </w:t>
      </w:r>
      <w:r>
        <w:t xml:space="preserve">(сосуществование видов):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</m:oMath>
      </m:oMathPara>
    </w:p>
    <w:p>
      <w:pPr>
        <w:pStyle w:val="FirstParagraph"/>
      </w:pPr>
      <w:r>
        <w:t xml:space="preserve">Вокруг нетривиальной точки равновесия в классической модели возникают незатухающие колебания.</w:t>
      </w:r>
      <w:r>
        <w:t xml:space="preserve"> </w:t>
      </w:r>
      <w:r>
        <w:t xml:space="preserve">### Изоклины (нулевого роста)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Изоклина жертв</w:t>
      </w:r>
      <w:r>
        <w:t xml:space="preserve"> </w:t>
      </w:r>
      <w:r>
        <w:t xml:space="preserve">(dx/dt = 0): горизонтальная линия (y =</w:t>
      </w:r>
      <w:r>
        <w:t xml:space="preserve"> </w:t>
      </w:r>
      <w:r>
        <w:t xml:space="preserve">/</w:t>
      </w:r>
      <w:r>
        <w:t xml:space="preserve"> </w:t>
      </w:r>
      <w:r>
        <w:t xml:space="preserve">).</w:t>
      </w:r>
      <w:r>
        <w:t xml:space="preserve"> </w:t>
      </w:r>
      <w:r>
        <w:t xml:space="preserve">- Выше изоклины: жертвы убывают (dx/dt &lt; 0);</w:t>
      </w:r>
      <w:r>
        <w:t xml:space="preserve"> </w:t>
      </w:r>
      <w:r>
        <w:t xml:space="preserve">- Ниже изоклины: жертвы растут (dx/dt &gt; 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Изоклина хищников</w:t>
      </w:r>
      <w:r>
        <w:t xml:space="preserve"> </w:t>
      </w:r>
      <w:r>
        <w:t xml:space="preserve">(dy/dt = 0): вертикальная линия (x =</w:t>
      </w:r>
      <w:r>
        <w:t xml:space="preserve"> </w:t>
      </w:r>
      <w:r>
        <w:t xml:space="preserve">/</w:t>
      </w:r>
      <w:r>
        <w:t xml:space="preserve"> 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Правее изоклины: хищники растут (dy/dt &gt; 0);</w:t>
      </w:r>
    </w:p>
    <w:p>
      <w:pPr>
        <w:pStyle w:val="Compact"/>
        <w:numPr>
          <w:ilvl w:val="1"/>
          <w:numId w:val="1003"/>
        </w:numPr>
      </w:pPr>
      <w:r>
        <w:t xml:space="preserve">Левее изоклины: хищники убывают (dy/dt &lt; 0).</w:t>
      </w:r>
    </w:p>
    <w:bookmarkEnd w:id="26"/>
    <w:bookmarkEnd w:id="27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файл sir_ode.jl, которая создаёт модель SIR. С помощью кода мы сможем получить 6 графиков, с помощью которых может изучить этот процесс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27868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запуск sir_ode.jl</w:t>
            </w:r>
          </w:p>
          <w:bookmarkEnd w:id="31"/>
        </w:tc>
      </w:tr>
    </w:tbl>
    <w:p>
      <w:pPr>
        <w:pStyle w:val="BodyText"/>
      </w:pPr>
      <w:r>
        <w:t xml:space="preserve">Создаю файл lv_ode.jl, которая создаёт модель Лотки–Вольтерры. С помощью кода мы сможем получить 6 графиков, с помощью которых может изучить этот процесс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12190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запуск lv_ode.jl</w:t>
            </w:r>
          </w:p>
          <w:bookmarkEnd w:id="35"/>
        </w:tc>
      </w:tr>
    </w:tbl>
    <w:p>
      <w:pPr>
        <w:pStyle w:val="BodyText"/>
      </w:pPr>
      <w:r>
        <w:t xml:space="preserve">Далее я меняю файлы sir_ode.jl и lv_ode.jl в литературном стиле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166667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6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Переписываю скрипты в литературном стиле</w:t>
            </w:r>
          </w:p>
          <w:bookmarkEnd w:id="39"/>
        </w:tc>
      </w:tr>
    </w:tbl>
    <w:p>
      <w:pPr>
        <w:pStyle w:val="BodyText"/>
      </w:pPr>
      <w:r>
        <w:t xml:space="preserve">С помощью скрипта tangle.jl создаю для sir_ode.jl и lv_ode.jl производные 3 формата. А также переписываю код, чтобы посмотреть зависимость динамики от разных параметров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127692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6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Создаём производные форматы</w:t>
            </w:r>
          </w:p>
          <w:bookmarkEnd w:id="43"/>
        </w:tc>
      </w:tr>
    </w:tbl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созданы модели SIR и Лотки–Вольтерры на языке Julia, используя литературное программирование. А также производные форматы (Jupyter Notebook, чистый код, документацию в формате Quarto) и добавлены в модели вычисления для набора параметров.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Богданюк Анна</dc:creator>
  <dc:language>ru-RU</dc:language>
  <cp:keywords/>
  <dcterms:created xsi:type="dcterms:W3CDTF">2026-03-07T17:58:59Z</dcterms:created>
  <dcterms:modified xsi:type="dcterms:W3CDTF">2026-03-07T17:58:59Z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