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61.png" ContentType="image/png"/>
  <Override PartName="/word/media/rId69.png" ContentType="image/png"/>
  <Override PartName="/word/media/rId65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создание агентной модели распростроненния инфекционного заболевания на основе классической компартментальной модели SIR (Susceptible-Infectious-Recovered).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классическая-модель-sir"/>
    <w:p>
      <w:pPr>
        <w:pStyle w:val="Heading2"/>
      </w:pPr>
      <w:r>
        <w:t xml:space="preserve">3.1 Классическая модель SIR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</w:t>
      </w:r>
      <w:r>
        <w:t xml:space="preserve"> </w:t>
      </w:r>
      <w:r>
        <w:t xml:space="preserve">динамику эпидемии в популяции, разделённой на три группы:</w:t>
      </w:r>
      <w:r>
        <w:t xml:space="preserve"> </w:t>
      </w:r>
      <w:r>
        <w:t xml:space="preserve">— 𝑆 (Susceptible) — восприимчивые к заболеванию индивиды;</w:t>
      </w:r>
      <w:r>
        <w:t xml:space="preserve"> </w:t>
      </w:r>
      <w:r>
        <w:t xml:space="preserve">— 𝐼 (Infectious) — инфицированные, способные заражать восприимчивых;</w:t>
      </w:r>
      <w:r>
        <w:t xml:space="preserve"> </w:t>
      </w:r>
      <w:r>
        <w:t xml:space="preserve">— 𝑅 (Recovered) — выздоровевшие (или умершие), получившие иммунитет и более</w:t>
      </w:r>
      <w:r>
        <w:t xml:space="preserve"> </w:t>
      </w:r>
      <w:r>
        <w:t xml:space="preserve">не участвующие в распространении.</w:t>
      </w:r>
    </w:p>
    <w:bookmarkEnd w:id="22"/>
    <w:bookmarkStart w:id="23" w:name="ограничения-классического-подхода"/>
    <w:p>
      <w:pPr>
        <w:pStyle w:val="Heading2"/>
      </w:pPr>
      <w:r>
        <w:t xml:space="preserve">3.2 Ограничения классического подхода</w:t>
      </w:r>
    </w:p>
    <w:p>
      <w:pPr>
        <w:pStyle w:val="FirstParagraph"/>
      </w:pPr>
      <w:r>
        <w:t xml:space="preserve">Несмотря на широкое применение, модель на ОДУ имеет ряд ограничений:</w:t>
      </w:r>
      <w:r>
        <w:t xml:space="preserve"> </w:t>
      </w:r>
      <w:r>
        <w:t xml:space="preserve">— Однородность популяции — все индивиды считаются одинаковыми.</w:t>
      </w:r>
      <w:r>
        <w:t xml:space="preserve"> </w:t>
      </w:r>
      <w:r>
        <w:t xml:space="preserve">— Отсутствие пространственной структуры — предполагается полное перемешивание.</w:t>
      </w:r>
      <w:r>
        <w:t xml:space="preserve"> </w:t>
      </w:r>
      <w:r>
        <w:t xml:space="preserve">— Детерминированность — не учитываются случайные флуктуации.</w:t>
      </w:r>
      <w:r>
        <w:t xml:space="preserve"> </w:t>
      </w:r>
      <w:r>
        <w:t xml:space="preserve">— Непрерывность — количество людей рассматривается как непрерывная величина.</w:t>
      </w:r>
    </w:p>
    <w:bookmarkEnd w:id="23"/>
    <w:bookmarkStart w:id="24" w:name="преимущества-агентного-подхода"/>
    <w:p>
      <w:pPr>
        <w:pStyle w:val="Heading2"/>
      </w:pPr>
      <w:r>
        <w:t xml:space="preserve">3.3 Преимущества агентного подхода</w:t>
      </w:r>
    </w:p>
    <w:p>
      <w:pPr>
        <w:pStyle w:val="FirstParagraph"/>
      </w:pPr>
      <w:r>
        <w:t xml:space="preserve">Агентное моделирование позволяет преодолеть эти ограничения:</w:t>
      </w:r>
      <w:r>
        <w:t xml:space="preserve"> </w:t>
      </w:r>
      <w:r>
        <w:t xml:space="preserve">— Каждый индивид моделируется отдельно с уникальными характеристиками.</w:t>
      </w:r>
      <w:r>
        <w:t xml:space="preserve"> </w:t>
      </w:r>
      <w:r>
        <w:t xml:space="preserve">— Взаимодействия происходят локально в пространстве или социальной сети.</w:t>
      </w:r>
      <w:r>
        <w:t xml:space="preserve"> </w:t>
      </w:r>
      <w:r>
        <w:t xml:space="preserve">— Процессы носят стохастический характер.</w:t>
      </w:r>
      <w:r>
        <w:t xml:space="preserve"> </w:t>
      </w:r>
      <w:r>
        <w:t xml:space="preserve">— Можно учитывать гетерогенность контактов, мобильность, меры контроля.</w:t>
      </w:r>
    </w:p>
    <w:bookmarkEnd w:id="24"/>
    <w:bookmarkStart w:id="25" w:name="агенты"/>
    <w:p>
      <w:pPr>
        <w:pStyle w:val="Heading2"/>
      </w:pPr>
      <w:r>
        <w:t xml:space="preserve">3.4 Агенты</w:t>
      </w:r>
    </w:p>
    <w:p>
      <w:pPr>
        <w:pStyle w:val="FirstParagraph"/>
      </w:pPr>
      <w:r>
        <w:t xml:space="preserve">Каждый агент — человек, обладающий следующими свойствами:</w:t>
      </w:r>
      <w:r>
        <w:t xml:space="preserve"> </w:t>
      </w:r>
      <w:r>
        <w:t xml:space="preserve">— status::Symbol — состояние (:S, :I, :R);</w:t>
      </w:r>
      <w:r>
        <w:t xml:space="preserve"> </w:t>
      </w:r>
      <w:r>
        <w:t xml:space="preserve">— days_infected::Int — количество дней с момента заражения (для инфицированных)</w:t>
      </w:r>
    </w:p>
    <w:bookmarkEnd w:id="25"/>
    <w:bookmarkStart w:id="26" w:name="параметры-модели"/>
    <w:p>
      <w:pPr>
        <w:pStyle w:val="Heading2"/>
      </w:pPr>
      <w:r>
        <w:t xml:space="preserve">3.5 Параметры модели</w:t>
      </w:r>
    </w:p>
    <w:p>
      <w:pPr>
        <w:pStyle w:val="FirstParagraph"/>
      </w:pPr>
      <w:r>
        <w:t xml:space="preserve">— Ns — вектор численности населения по локациям;</w:t>
      </w:r>
      <w:r>
        <w:t xml:space="preserve"> </w:t>
      </w:r>
      <w:r>
        <w:t xml:space="preserve">— β_und — вероятность передачи для невыявленных случаев;</w:t>
      </w:r>
      <w:r>
        <w:t xml:space="preserve"> </w:t>
      </w:r>
      <w:r>
        <w:t xml:space="preserve">— β_det — вероятность передачи для выявленных случаев;</w:t>
      </w:r>
      <w:r>
        <w:t xml:space="preserve"> </w:t>
      </w:r>
      <w:r>
        <w:t xml:space="preserve">— infection_period — длительность заболевания (дней);</w:t>
      </w:r>
      <w:r>
        <w:t xml:space="preserve"> </w:t>
      </w:r>
      <w:r>
        <w:t xml:space="preserve">— detection_time — время до выявления заболевания;</w:t>
      </w:r>
      <w:r>
        <w:t xml:space="preserve"> </w:t>
      </w:r>
      <w:r>
        <w:t xml:space="preserve">— death_rate — вероятность летального исхода;</w:t>
      </w:r>
      <w:r>
        <w:t xml:space="preserve"> </w:t>
      </w:r>
      <w:r>
        <w:t xml:space="preserve">— reinfection_probability — вероятность повторного заражения;</w:t>
      </w:r>
      <w:r>
        <w:t xml:space="preserve"> </w:t>
      </w:r>
      <w:r>
        <w:t xml:space="preserve">— migration_rates — матрица вероятностей миграции между локациями.</w:t>
      </w:r>
    </w:p>
    <w:bookmarkEnd w:id="26"/>
    <w:bookmarkStart w:id="27" w:name="динамика"/>
    <w:p>
      <w:pPr>
        <w:pStyle w:val="Heading2"/>
      </w:pPr>
      <w:r>
        <w:t xml:space="preserve">3.6 Динамика</w:t>
      </w:r>
    </w:p>
    <w:p>
      <w:pPr>
        <w:pStyle w:val="FirstParagraph"/>
      </w:pPr>
      <w:r>
        <w:t xml:space="preserve">На каждом шаге (соответствует одному дню) для каждого агента выполняются</w:t>
      </w:r>
      <w:r>
        <w:t xml:space="preserve"> </w:t>
      </w:r>
      <w:r>
        <w:t xml:space="preserve">следующие процессы :</w:t>
      </w:r>
      <w:r>
        <w:t xml:space="preserve"> </w:t>
      </w:r>
      <w:r>
        <w:t xml:space="preserve">— Миграция — агент может переместиться в другую локацию с вероятностью,</w:t>
      </w:r>
      <w:r>
        <w:t xml:space="preserve"> </w:t>
      </w:r>
      <w:r>
        <w:t xml:space="preserve">заданной матрицей migration_rates.</w:t>
      </w:r>
      <w:r>
        <w:t xml:space="preserve"> </w:t>
      </w:r>
      <w:r>
        <w:t xml:space="preserve">— Передача инфекции — если агент инфицирован, он может заразить восприимчивых агентов в той же локации. Количество заражённых за день определяется</w:t>
      </w:r>
      <w:r>
        <w:t xml:space="preserve"> </w:t>
      </w:r>
      <w:r>
        <w:t xml:space="preserve">пуассоновским процессом с интенсивностью, зависящей от статуса выявления</w:t>
      </w:r>
      <w:r>
        <w:t xml:space="preserve"> </w:t>
      </w:r>
      <w:r>
        <w:t xml:space="preserve">(β_und или β_det).</w:t>
      </w:r>
      <w:r>
        <w:t xml:space="preserve"> </w:t>
      </w:r>
      <w:r>
        <w:t xml:space="preserve">— Обновление счётчика — для инфицированных увеличивается days_infected.</w:t>
      </w:r>
      <w:r>
        <w:t xml:space="preserve"> </w:t>
      </w:r>
      <w:r>
        <w:t xml:space="preserve">— Выздоровление или смерть — если days_infected достиг infection_period,</w:t>
      </w:r>
      <w:r>
        <w:t xml:space="preserve"> </w:t>
      </w:r>
      <w:r>
        <w:t xml:space="preserve">агент либо выздоравливает (переходит в R), либо умирает (удаляется из модели)</w:t>
      </w:r>
      <w:r>
        <w:t xml:space="preserve"> </w:t>
      </w:r>
      <w:r>
        <w:t xml:space="preserve">с вероятностью death_rate. Выздоровевшие могут быть повторно инфицированы с вероятностью reinfection_probability.</w:t>
      </w:r>
    </w:p>
    <w:bookmarkEnd w:id="27"/>
    <w:bookmarkEnd w:id="28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рабочее пространство для работы. Создаём код модели, который будем далее использоватьв других скриптах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75784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7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Создаём src/sir_model.jl</w:t>
            </w:r>
          </w:p>
          <w:bookmarkEnd w:id="32"/>
        </w:tc>
      </w:tr>
    </w:tbl>
    <w:p>
      <w:pPr>
        <w:pStyle w:val="BodyText"/>
      </w:pPr>
      <w:r>
        <w:t xml:space="preserve">Далее программу для запуска базового эксперемента с фиксированными параметрами (по умолчанию) и сохраняем динамику численности агентов. Это служит для проверки работоспособности модели и получения базового понимания эпидемического процесса.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207725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Создаём src/sir_run_basic.jl</w:t>
            </w:r>
          </w:p>
          <w:bookmarkEnd w:id="36"/>
        </w:tc>
      </w:tr>
    </w:tbl>
    <w:p>
      <w:pPr>
        <w:pStyle w:val="BodyText"/>
      </w:pPr>
      <w:r>
        <w:t xml:space="preserve">Создаём скрипт, который исследует, как изменение базовой заразности (β_und и пропорционально β_det) влияет на эпидемические показатели: пик заболеваемости, долю переболевших, число умерших. Выполняется параметрическое сканирование с несколькими повторными прогонами для учёта стохастичности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733800" cy="219611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6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Создаём src/sir_scan_beta.jl</w:t>
            </w:r>
          </w:p>
          <w:bookmarkEnd w:id="40"/>
        </w:tc>
      </w:tr>
    </w:tbl>
    <w:p>
      <w:pPr>
        <w:pStyle w:val="BodyText"/>
      </w:pPr>
      <w:r>
        <w:t xml:space="preserve">Создаём скрипт, который исследует, как интенсивность перемещения людей между городами влияет на</w:t>
      </w:r>
      <w:r>
        <w:t xml:space="preserve"> </w:t>
      </w:r>
      <w:r>
        <w:t xml:space="preserve">скорость распространения эпидемии (время достижения пика) и масштаб пика.</w:t>
      </w:r>
      <w:r>
        <w:t xml:space="preserve"> </w:t>
      </w:r>
      <w:r>
        <w:t xml:space="preserve">Инфекция начинается только в одном городе, остальные изначально здоровы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4"/>
          <w:p>
            <w:pPr>
              <w:pStyle w:val="Compact"/>
              <w:jc w:val="center"/>
            </w:pPr>
            <w:r>
              <w:drawing>
                <wp:inline>
                  <wp:extent cx="3733800" cy="244688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6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Создаём src/sir_migration_effect.jl</w:t>
            </w:r>
          </w:p>
          <w:bookmarkEnd w:id="44"/>
        </w:tc>
      </w:tr>
    </w:tbl>
    <w:p>
      <w:pPr>
        <w:pStyle w:val="BodyText"/>
      </w:pPr>
      <w:r>
        <w:t xml:space="preserve">Создаём скрипт, который ищет оптимальные комбинации параметров, минимизирующие одновременно</w:t>
      </w:r>
      <w:r>
        <w:t xml:space="preserve"> </w:t>
      </w:r>
      <w:r>
        <w:t xml:space="preserve">два критерия: пиковую заболеваемость и долю умерших. Использует эволюционный алгоритм (Borg MOEA) из пакета BlackBoxOptim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33800" cy="186475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Создаём src/sir_optimize_parameters.jl</w:t>
            </w:r>
          </w:p>
          <w:bookmarkEnd w:id="48"/>
        </w:tc>
      </w:tr>
    </w:tbl>
    <w:p>
      <w:pPr>
        <w:pStyle w:val="BodyText"/>
      </w:pPr>
      <w:r>
        <w:t xml:space="preserve">Создаём скрипт, который загружает результаты параметрического сканирования (файл data/beta_scan_all.csv, созданный scan_beta.jl) и строит единый составной график, объединяющий три панели:пик эпидемии и конечная доля инфицированных, число умерших, доля выздоровевших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146351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3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Создаём src/sir_visualize_dynamics.jl</w:t>
            </w:r>
          </w:p>
          <w:bookmarkEnd w:id="52"/>
        </w:tc>
      </w:tr>
    </w:tbl>
    <w:p>
      <w:pPr>
        <w:pStyle w:val="BodyText"/>
      </w:pPr>
      <w:r>
        <w:t xml:space="preserve">Затем я преобразовала все скрипты, созданные в ходе выполнения лабораторной работы, в литературном стиле. И с помощью скрипта tangle.jl создала произвольные форматы для каждого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180272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Создаём производные форматы</w:t>
            </w:r>
          </w:p>
          <w:bookmarkEnd w:id="56"/>
        </w:tc>
      </w:tr>
    </w:tbl>
    <w:p>
      <w:pPr>
        <w:pStyle w:val="BodyText"/>
      </w:pPr>
      <w:r>
        <w:t xml:space="preserve">Результат работы программы sir_run_basic.jl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работы sir_run_basic.jl</w:t>
            </w:r>
          </w:p>
          <w:bookmarkEnd w:id="60"/>
        </w:tc>
      </w:tr>
    </w:tbl>
    <w:p>
      <w:pPr>
        <w:pStyle w:val="BodyText"/>
      </w:pPr>
      <w:r>
        <w:t xml:space="preserve">Результат работы программы sir_beta_scan.jl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 работы sir_beta_scan.jl</w:t>
            </w:r>
          </w:p>
          <w:bookmarkEnd w:id="64"/>
        </w:tc>
      </w:tr>
    </w:tbl>
    <w:p>
      <w:pPr>
        <w:pStyle w:val="BodyText"/>
      </w:pPr>
      <w:r>
        <w:t xml:space="preserve">Результат работы программы sir_migration_effect.jl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migration_effec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работы sir_migration_effect.jl</w:t>
            </w:r>
          </w:p>
          <w:bookmarkEnd w:id="68"/>
        </w:tc>
      </w:tr>
    </w:tbl>
    <w:p>
      <w:pPr>
        <w:pStyle w:val="BodyText"/>
      </w:pPr>
      <w:r>
        <w:t xml:space="preserve">Результат работы программы sir_visualize_dynamics.jl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comprehensive_analysis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 работы sir_visualize_dynamics.jl</w:t>
            </w:r>
          </w:p>
          <w:bookmarkEnd w:id="72"/>
        </w:tc>
      </w:tr>
    </w:tbl>
    <w:bookmarkEnd w:id="73"/>
    <w:bookmarkStart w:id="7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была создана агентная модель распростроненния инфекционного заболевания на основе классической компартментальной модели SIR (Susceptible-Infectious-Recovered).</w:t>
      </w:r>
    </w:p>
    <w:bookmarkEnd w:id="74"/>
    <w:bookmarkStart w:id="7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Hethcote H. W. The Mathematics of Infectious Diseases // SIAM Review. — 2000. — Jan. — Vol. 42, no. 4. — P. 599–653. — ISSN 1095-7200. — DOI: 10.1137/s0036144 500371907.</w:t>
      </w:r>
    </w:p>
    <w:p>
      <w:pPr>
        <w:pStyle w:val="Compact"/>
        <w:numPr>
          <w:ilvl w:val="0"/>
          <w:numId w:val="1002"/>
        </w:numPr>
      </w:pPr>
      <w:r>
        <w:t xml:space="preserve">Kermack W. O., McKendrick A. G. A Contribution to the Mathematical Theory of Epidemics // Proceedings of the Royal Society of London. Series A Containing Papers of a Mathematical and Physical Character. — 1927. — Авг. — Т. 115, № 772. — С. 700—721. — ISSN 2053-9150. — DOI: 10.1098/rspa.1927.0118.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</dc:title>
  <dc:creator>Богданюк Анна</dc:creator>
  <dc:language>ru-RU</dc:language>
  <cp:keywords/>
  <dcterms:created xsi:type="dcterms:W3CDTF">2026-04-04T09:34:05Z</dcterms:created>
  <dcterms:modified xsi:type="dcterms:W3CDTF">2026-04-04T09:34:05Z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