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Внешний</w:t>
      </w:r>
      <w:r>
        <w:t xml:space="preserve"> </w:t>
      </w:r>
      <w:r>
        <w:t xml:space="preserve">курс</w:t>
      </w:r>
    </w:p>
    <w:p>
      <w:pPr>
        <w:pStyle w:val="Subtitle"/>
      </w:pPr>
      <w:r>
        <w:t xml:space="preserve">Работа</w:t>
      </w:r>
      <w:r>
        <w:t xml:space="preserve"> </w:t>
      </w:r>
      <w:r>
        <w:t xml:space="preserve">на</w:t>
      </w:r>
      <w:r>
        <w:t xml:space="preserve"> </w:t>
      </w:r>
      <w:r>
        <w:t xml:space="preserve">сервере</w:t>
      </w:r>
    </w:p>
    <w:p>
      <w:pPr>
        <w:pStyle w:val="Author"/>
      </w:pPr>
      <w:r>
        <w:t xml:space="preserve">Богданюк</w:t>
      </w:r>
      <w:r>
        <w:t xml:space="preserve"> </w:t>
      </w:r>
      <w:r>
        <w:t xml:space="preserve">Анна</w:t>
      </w:r>
      <w:r>
        <w:t xml:space="preserve"> </w:t>
      </w:r>
      <w:r>
        <w:t xml:space="preserve">Васильевна</w:t>
      </w:r>
      <w:r>
        <w:t xml:space="preserve"> </w:t>
      </w:r>
      <w:r>
        <w:t xml:space="preserve">НКАбд-01-23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получение знаний о работе на сервере.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Изучить теоритический материал</w:t>
      </w:r>
    </w:p>
    <w:p>
      <w:pPr>
        <w:pStyle w:val="Compact"/>
        <w:numPr>
          <w:ilvl w:val="0"/>
          <w:numId w:val="1001"/>
        </w:numPr>
      </w:pPr>
      <w:r>
        <w:t xml:space="preserve">Пройти тесты</w:t>
      </w:r>
    </w:p>
    <w:bookmarkEnd w:id="21"/>
    <w:bookmarkStart w:id="9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Удаленный сервер используется для хранения больших объемов данных, выполнения сложных (затратных по памяти и времени) вычислений, хранения конфиденциальных данных, хранения общедоступных данных (рис. 1).</w:t>
      </w:r>
    </w:p>
    <w:p>
      <w:pPr>
        <w:pStyle w:val="CaptionedFigure"/>
      </w:pPr>
      <w:r>
        <w:drawing>
          <wp:inline>
            <wp:extent cx="3733800" cy="1936044"/>
            <wp:effectExtent b="0" l="0" r="0" t="0"/>
            <wp:docPr descr="Задание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6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Задание</w:t>
      </w:r>
    </w:p>
    <w:p>
      <w:pPr>
        <w:pStyle w:val="BodyText"/>
      </w:pPr>
      <w:r>
        <w:t xml:space="preserve">id_rsa.pub, однако правильным ответом был бы</w:t>
      </w:r>
      <w:r>
        <w:t xml:space="preserve"> </w:t>
      </w:r>
      <w:r>
        <w:t xml:space="preserve">“</w:t>
      </w:r>
      <w:r>
        <w:t xml:space="preserve">Ни один нельзя</w:t>
      </w:r>
      <w:r>
        <w:t xml:space="preserve">”</w:t>
      </w:r>
      <w:r>
        <w:t xml:space="preserve"> </w:t>
      </w:r>
      <w:r>
        <w:t xml:space="preserve">(рис. 2).</w:t>
      </w:r>
    </w:p>
    <w:p>
      <w:pPr>
        <w:pStyle w:val="CaptionedFigure"/>
      </w:pPr>
      <w:r>
        <w:drawing>
          <wp:inline>
            <wp:extent cx="3733800" cy="1708014"/>
            <wp:effectExtent b="0" l="0" r="0" t="0"/>
            <wp:docPr descr="Задание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80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Задание</w:t>
      </w:r>
    </w:p>
    <w:p>
      <w:pPr>
        <w:pStyle w:val="BodyText"/>
      </w:pPr>
      <w:r>
        <w:t xml:space="preserve">Можно прочитать manual scp. -r Recursively copy entire directoriesю -p не подходит (рис. 3).</w:t>
      </w:r>
    </w:p>
    <w:p>
      <w:pPr>
        <w:pStyle w:val="CaptionedFigure"/>
      </w:pPr>
      <w:r>
        <w:drawing>
          <wp:inline>
            <wp:extent cx="3733800" cy="1653698"/>
            <wp:effectExtent b="0" l="0" r="0" t="0"/>
            <wp:docPr descr="Задание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53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Задание</w:t>
      </w:r>
    </w:p>
    <w:p>
      <w:pPr>
        <w:pStyle w:val="BodyText"/>
      </w:pPr>
      <w:r>
        <w:t xml:space="preserve">sudo apt-get upgrade не подходит, т.к. upgrade обновляет пакеты до последних версий и устанавливает новые пакеты, если они требуются в качестве зависимостей. sudo apt-get install –only-upgrade program тоже не поможет (рис. 4).</w:t>
      </w:r>
    </w:p>
    <w:p>
      <w:pPr>
        <w:pStyle w:val="CaptionedFigure"/>
      </w:pPr>
      <w:r>
        <w:drawing>
          <wp:inline>
            <wp:extent cx="3733800" cy="1936841"/>
            <wp:effectExtent b="0" l="0" r="0" t="0"/>
            <wp:docPr descr="Задание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6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Задание</w:t>
      </w:r>
    </w:p>
    <w:p>
      <w:pPr>
        <w:pStyle w:val="BodyText"/>
      </w:pPr>
      <w:r>
        <w:t xml:space="preserve">Filezilla используется для копирования файлов с сервера на свой компьютер, просмотра содержимого директорий на своем компьютере, просмотра содержимого директорий на сервере (рис. 5).</w:t>
      </w:r>
    </w:p>
    <w:p>
      <w:pPr>
        <w:pStyle w:val="CaptionedFigure"/>
      </w:pPr>
      <w:r>
        <w:drawing>
          <wp:inline>
            <wp:extent cx="3733800" cy="3589901"/>
            <wp:effectExtent b="0" l="0" r="0" t="0"/>
            <wp:docPr descr="Задание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899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Задание</w:t>
      </w:r>
    </w:p>
    <w:p>
      <w:pPr>
        <w:pStyle w:val="BodyText"/>
      </w:pPr>
      <w:r>
        <w:t xml:space="preserve">Ничешо сделать нельзя и запустить на своем компьютере не подходят очевидно (рис. 6).</w:t>
      </w:r>
    </w:p>
    <w:p>
      <w:pPr>
        <w:pStyle w:val="CaptionedFigure"/>
      </w:pPr>
      <w:r>
        <w:drawing>
          <wp:inline>
            <wp:extent cx="3733800" cy="1822159"/>
            <wp:effectExtent b="0" l="0" r="0" t="0"/>
            <wp:docPr descr="Задание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2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Задание</w:t>
      </w:r>
    </w:p>
    <w:p>
      <w:pPr>
        <w:pStyle w:val="BodyText"/>
      </w:pPr>
      <w:r>
        <w:t xml:space="preserve">К сожалению, program ?! не походит. Остальные варианты рабочие (рис. 7).</w:t>
      </w:r>
    </w:p>
    <w:p>
      <w:pPr>
        <w:pStyle w:val="CaptionedFigure"/>
      </w:pPr>
      <w:r>
        <w:drawing>
          <wp:inline>
            <wp:extent cx="3733800" cy="2973211"/>
            <wp:effectExtent b="0" l="0" r="0" t="0"/>
            <wp:docPr descr="Задание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3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Задание</w:t>
      </w:r>
    </w:p>
    <w:p>
      <w:pPr>
        <w:pStyle w:val="BodyText"/>
      </w:pPr>
      <w:r>
        <w:t xml:space="preserve">В справке о FastQC написаны форматы данных: bam_mapped, sam_mapped, fastq, bam,sam (рис. 8).</w:t>
      </w:r>
    </w:p>
    <w:p>
      <w:pPr>
        <w:pStyle w:val="CaptionedFigure"/>
      </w:pPr>
      <w:r>
        <w:drawing>
          <wp:inline>
            <wp:extent cx="3733800" cy="3132162"/>
            <wp:effectExtent b="0" l="0" r="0" t="0"/>
            <wp:docPr descr="Задание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2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Задание</w:t>
      </w:r>
    </w:p>
    <w:p>
      <w:pPr>
        <w:pStyle w:val="BodyText"/>
      </w:pPr>
      <w:r>
        <w:t xml:space="preserve">Достаточно простой синтаксис. Единственное добавление -align (Do full !multiple alignment!) (рис. 9).</w:t>
      </w:r>
    </w:p>
    <w:p>
      <w:pPr>
        <w:pStyle w:val="CaptionedFigure"/>
      </w:pPr>
      <w:r>
        <w:drawing>
          <wp:inline>
            <wp:extent cx="3733800" cy="2545937"/>
            <wp:effectExtent b="0" l="0" r="0" t="0"/>
            <wp:docPr descr="Задание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5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Задание</w:t>
      </w:r>
    </w:p>
    <w:p>
      <w:pPr>
        <w:pStyle w:val="BodyText"/>
      </w:pPr>
      <w:r>
        <w:t xml:space="preserve">Комбинация Ctrl+С - завершает процесса, комбинация Ctrl+Z - приостанавливает процесса. Поэтому только о 2 и 3 программе (рис. 10).</w:t>
      </w:r>
    </w:p>
    <w:p>
      <w:pPr>
        <w:pStyle w:val="CaptionedFigure"/>
      </w:pPr>
      <w:r>
        <w:drawing>
          <wp:inline>
            <wp:extent cx="3733800" cy="2384766"/>
            <wp:effectExtent b="0" l="0" r="0" t="0"/>
            <wp:docPr descr="Задание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4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Задание</w:t>
      </w:r>
    </w:p>
    <w:p>
      <w:pPr>
        <w:pStyle w:val="BodyText"/>
      </w:pPr>
      <w:r>
        <w:t xml:space="preserve">ps и top выводят номер процесса - его PID (process identificator), это такой номер, который присваивается процессу самой ОС, когда процесс запускается. А jobs присваивает процессам свою нумерацию - по порядку запуска процессов. (рис. 11).</w:t>
      </w:r>
    </w:p>
    <w:p>
      <w:pPr>
        <w:pStyle w:val="CaptionedFigure"/>
      </w:pPr>
      <w:r>
        <w:drawing>
          <wp:inline>
            <wp:extent cx="3733800" cy="1799556"/>
            <wp:effectExtent b="0" l="0" r="0" t="0"/>
            <wp:docPr descr="Задание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9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Задание</w:t>
      </w:r>
    </w:p>
    <w:p>
      <w:pPr>
        <w:pStyle w:val="BodyText"/>
      </w:pPr>
      <w:r>
        <w:t xml:space="preserve">В справочнике kill написано, что -9 мгновенно завершает работу/убивает (рис. 12).</w:t>
      </w:r>
    </w:p>
    <w:p>
      <w:pPr>
        <w:pStyle w:val="CaptionedFigure"/>
      </w:pPr>
      <w:r>
        <w:drawing>
          <wp:inline>
            <wp:extent cx="3733800" cy="2326617"/>
            <wp:effectExtent b="0" l="0" r="0" t="0"/>
            <wp:docPr descr="Задание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66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Задание</w:t>
      </w:r>
    </w:p>
    <w:p>
      <w:pPr>
        <w:pStyle w:val="BodyText"/>
      </w:pPr>
      <w:r>
        <w:t xml:space="preserve">Из того же справочника, процесс приступит к завершению, как только будет продолжен (рис. 13).</w:t>
      </w:r>
    </w:p>
    <w:p>
      <w:pPr>
        <w:pStyle w:val="CaptionedFigure"/>
      </w:pPr>
      <w:r>
        <w:drawing>
          <wp:inline>
            <wp:extent cx="3733800" cy="1661522"/>
            <wp:effectExtent b="0" l="0" r="0" t="0"/>
            <wp:docPr descr="Задание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1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Задание</w:t>
      </w:r>
    </w:p>
    <w:p>
      <w:pPr>
        <w:pStyle w:val="BodyText"/>
      </w:pPr>
      <w:r>
        <w:t xml:space="preserve">Запущенная программа потребляет ресурсы CPU, а остановленная нет. (рис. 14).</w:t>
      </w:r>
    </w:p>
    <w:p>
      <w:pPr>
        <w:pStyle w:val="CaptionedFigure"/>
      </w:pPr>
      <w:r>
        <w:drawing>
          <wp:inline>
            <wp:extent cx="3733800" cy="2620840"/>
            <wp:effectExtent b="0" l="0" r="0" t="0"/>
            <wp:docPr descr="Задание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0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Задание</w:t>
      </w:r>
    </w:p>
    <w:p>
      <w:pPr>
        <w:pStyle w:val="BodyText"/>
      </w:pPr>
      <w:r>
        <w:t xml:space="preserve">Приостановленное приложение не выполняет новых действий, поэтому не занимает вычислительные ресурсы компьютера (CPU 0%). При этом, в оперативной памяти оно сохранится, поэтому оно будет занимать столько же оперативной памяти, сколько до постановки на паузу. (рис. 15).</w:t>
      </w:r>
    </w:p>
    <w:p>
      <w:pPr>
        <w:pStyle w:val="CaptionedFigure"/>
      </w:pPr>
      <w:r>
        <w:drawing>
          <wp:inline>
            <wp:extent cx="3733800" cy="2258230"/>
            <wp:effectExtent b="0" l="0" r="0" t="0"/>
            <wp:docPr descr="Задание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8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Задание</w:t>
      </w:r>
    </w:p>
    <w:p>
      <w:pPr>
        <w:pStyle w:val="BodyText"/>
      </w:pPr>
      <w:r>
        <w:t xml:space="preserve">Никак (рис. 16).</w:t>
      </w:r>
    </w:p>
    <w:p>
      <w:pPr>
        <w:pStyle w:val="CaptionedFigure"/>
      </w:pPr>
      <w:r>
        <w:drawing>
          <wp:inline>
            <wp:extent cx="3733800" cy="2246954"/>
            <wp:effectExtent b="0" l="0" r="0" t="0"/>
            <wp:docPr descr="Задание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6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Задание</w:t>
      </w:r>
    </w:p>
    <w:p>
      <w:pPr>
        <w:pStyle w:val="BodyText"/>
      </w:pPr>
      <w:r>
        <w:t xml:space="preserve">Только bowtie2, однако ответ оба (рис. 17).</w:t>
      </w:r>
    </w:p>
    <w:p>
      <w:pPr>
        <w:pStyle w:val="CaptionedFigure"/>
      </w:pPr>
      <w:r>
        <w:drawing>
          <wp:inline>
            <wp:extent cx="3733800" cy="1951759"/>
            <wp:effectExtent b="0" l="0" r="0" t="0"/>
            <wp:docPr descr="Задание" title="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17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Задание</w:t>
      </w:r>
    </w:p>
    <w:p>
      <w:pPr>
        <w:pStyle w:val="BodyText"/>
      </w:pPr>
      <w:r>
        <w:t xml:space="preserve">Терминал сообщит, что нет процесса для запуска в fg (рис. 18).</w:t>
      </w:r>
    </w:p>
    <w:p>
      <w:pPr>
        <w:pStyle w:val="CaptionedFigure"/>
      </w:pPr>
      <w:r>
        <w:drawing>
          <wp:inline>
            <wp:extent cx="3733800" cy="1781955"/>
            <wp:effectExtent b="0" l="0" r="0" t="0"/>
            <wp:docPr descr="Задание" title="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19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Задание</w:t>
      </w:r>
    </w:p>
    <w:p>
      <w:pPr>
        <w:pStyle w:val="BodyText"/>
      </w:pPr>
      <w:r>
        <w:t xml:space="preserve">tmux завершит работу после exit (рис. 19).</w:t>
      </w:r>
    </w:p>
    <w:p>
      <w:pPr>
        <w:pStyle w:val="CaptionedFigure"/>
      </w:pPr>
      <w:r>
        <w:drawing>
          <wp:inline>
            <wp:extent cx="3733800" cy="1703004"/>
            <wp:effectExtent b="0" l="0" r="0" t="0"/>
            <wp:docPr descr="Задание" title="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3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Задание</w:t>
      </w:r>
    </w:p>
    <w:p>
      <w:pPr>
        <w:pStyle w:val="BodyText"/>
      </w:pPr>
      <w:r>
        <w:t xml:space="preserve">Соединение с сервером прервется, но работа tmux продолжится (рис. 20).</w:t>
      </w:r>
    </w:p>
    <w:p>
      <w:pPr>
        <w:pStyle w:val="CaptionedFigure"/>
      </w:pPr>
      <w:r>
        <w:drawing>
          <wp:inline>
            <wp:extent cx="3733800" cy="1870741"/>
            <wp:effectExtent b="0" l="0" r="0" t="0"/>
            <wp:docPr descr="Задание" title="" id="80" name="Picture"/>
            <a:graphic>
              <a:graphicData uri="http://schemas.openxmlformats.org/drawingml/2006/picture">
                <pic:pic>
                  <pic:nvPicPr>
                    <pic:cNvPr descr="image/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0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Задание</w:t>
      </w:r>
    </w:p>
    <w:p>
      <w:pPr>
        <w:pStyle w:val="BodyText"/>
      </w:pPr>
      <w:r>
        <w:t xml:space="preserve">Вкладка закроется, а вместе с ней пропадет и запущенный в ней процесс (рис. 21).</w:t>
      </w:r>
    </w:p>
    <w:p>
      <w:pPr>
        <w:pStyle w:val="CaptionedFigure"/>
      </w:pPr>
      <w:r>
        <w:drawing>
          <wp:inline>
            <wp:extent cx="3733800" cy="1649126"/>
            <wp:effectExtent b="0" l="0" r="0" t="0"/>
            <wp:docPr descr="Задание" title="" id="83" name="Picture"/>
            <a:graphic>
              <a:graphicData uri="http://schemas.openxmlformats.org/drawingml/2006/picture">
                <pic:pic>
                  <pic:nvPicPr>
                    <pic:cNvPr descr="image/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9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Задание</w:t>
      </w:r>
    </w:p>
    <w:p>
      <w:pPr>
        <w:pStyle w:val="BodyText"/>
      </w:pPr>
      <w:r>
        <w:t xml:space="preserve">Ctrl+b 0-9 - открыть окно по его номеру; Ctrl+b , - переименовать текущее окно; (рис. 22).</w:t>
      </w:r>
    </w:p>
    <w:p>
      <w:pPr>
        <w:pStyle w:val="CaptionedFigure"/>
      </w:pPr>
      <w:r>
        <w:drawing>
          <wp:inline>
            <wp:extent cx="3733800" cy="2184539"/>
            <wp:effectExtent b="0" l="0" r="0" t="0"/>
            <wp:docPr descr="Задание" title="" id="86" name="Picture"/>
            <a:graphic>
              <a:graphicData uri="http://schemas.openxmlformats.org/drawingml/2006/picture">
                <pic:pic>
                  <pic:nvPicPr>
                    <pic:cNvPr descr="image/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45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Задание</w:t>
      </w:r>
    </w:p>
    <w:p>
      <w:pPr>
        <w:pStyle w:val="BodyText"/>
      </w:pPr>
      <w:r>
        <w:t xml:space="preserve">Данное задание легко понять на практике. Команды-</w:t>
      </w:r>
      <w:r>
        <w:t xml:space="preserve">“</w:t>
      </w:r>
      <w:r>
        <w:t xml:space="preserve">разделения</w:t>
      </w:r>
      <w:r>
        <w:t xml:space="preserve">”</w:t>
      </w:r>
      <w:r>
        <w:t xml:space="preserve"> </w:t>
      </w:r>
      <w:r>
        <w:t xml:space="preserve">действуют только в текущей вкладке tmux, а не во всех вкладках одновременно. Если разделенную горизонтально вкладку разделить еще и вертикально (т.е. нажать один раз Ctrl+B и %), то получится 3</w:t>
      </w:r>
      <w:r>
        <w:t xml:space="preserve"> </w:t>
      </w:r>
      <w:r>
        <w:t xml:space="preserve">“</w:t>
      </w:r>
      <w:r>
        <w:t xml:space="preserve">части</w:t>
      </w:r>
      <w:r>
        <w:t xml:space="preserve">”</w:t>
      </w:r>
      <w:r>
        <w:t xml:space="preserve"> </w:t>
      </w:r>
      <w:r>
        <w:t xml:space="preserve">– две маленькие и одна большая (рис. 23).</w:t>
      </w:r>
    </w:p>
    <w:p>
      <w:pPr>
        <w:pStyle w:val="CaptionedFigure"/>
      </w:pPr>
      <w:r>
        <w:drawing>
          <wp:inline>
            <wp:extent cx="3733800" cy="2750660"/>
            <wp:effectExtent b="0" l="0" r="0" t="0"/>
            <wp:docPr descr="Задание" title="" id="89" name="Picture"/>
            <a:graphic>
              <a:graphicData uri="http://schemas.openxmlformats.org/drawingml/2006/picture">
                <pic:pic>
                  <pic:nvPicPr>
                    <pic:cNvPr descr="image/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0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Задание</w:t>
      </w:r>
    </w:p>
    <w:bookmarkEnd w:id="91"/>
    <w:bookmarkStart w:id="9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Во время выполнения внешнего курса я получила знания о работе на сервере.</w:t>
      </w:r>
    </w:p>
    <w:bookmarkEnd w:id="9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Внешний курс</dc:title>
  <dc:creator>Богданюк Анна Васильевна НКАбд-01-23</dc:creator>
  <dc:language>ru-RU</dc:language>
  <cp:keywords/>
  <dcterms:created xsi:type="dcterms:W3CDTF">2024-05-18T13:04:02Z</dcterms:created>
  <dcterms:modified xsi:type="dcterms:W3CDTF">2024-05-18T13:04:02Z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DejaVuSerif</vt:lpwstr>
  </property>
  <property fmtid="{D5CDD505-2E9C-101B-9397-08002B2CF9AE}" pid="59" name="mainfontoptions">
    <vt:lpwstr>Ligatures=TeX</vt:lpwstr>
  </property>
  <property fmtid="{D5CDD505-2E9C-101B-9397-08002B2CF9AE}" pid="60" name="monofont">
    <vt:lpwstr>DejaVuSansMono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DejaVuSerif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DejaVuSans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Работа на сервере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