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Montserrat" w:cs="Montserrat" w:eastAsia="Montserrat" w:hAnsi="Montserrat"/>
          <w:b w:val="1"/>
          <w:bCs w:val="1"/>
          <w:sz w:val="40"/>
          <w:szCs w:val="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40"/>
          <w:szCs w:val="40"/>
          <w:rtl w:val="0"/>
        </w:rPr>
        <w:t xml:space="preserve">Построение равносильной системы в нормальной форме 1-го порядка для</w:t>
        <w:br w:type="textWrapping"/>
        <w:t xml:space="preserve">заданного линейного дифференциального уравнения. Форма Фробениуса.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3909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9243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130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71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7620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815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65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54500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65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781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7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127500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9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