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0" w:firstLine="0"/>
        <w:rPr>
          <w:rFonts w:ascii="Montserrat" w:cs="Montserrat" w:eastAsia="Montserrat" w:hAnsi="Montserrat"/>
          <w:b w:val="1"/>
          <w:bCs w:val="1"/>
          <w:sz w:val="40"/>
          <w:szCs w:val="4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40"/>
          <w:szCs w:val="40"/>
          <w:rtl w:val="0"/>
        </w:rPr>
        <w:t xml:space="preserve">Общее решение неоднородного линейного разностного уравнения с постоянными коэффициентами, определение устойчивости и критерии.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448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987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5494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02000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48100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5260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13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8920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715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193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9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672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6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4565819" cy="2976563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5819" cy="2976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1.png"/><Relationship Id="rId10" Type="http://schemas.openxmlformats.org/officeDocument/2006/relationships/image" Target="media/image12.png"/><Relationship Id="rId13" Type="http://schemas.openxmlformats.org/officeDocument/2006/relationships/image" Target="media/image6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1.png"/><Relationship Id="rId14" Type="http://schemas.openxmlformats.org/officeDocument/2006/relationships/image" Target="media/image3.png"/><Relationship Id="rId17" Type="http://schemas.openxmlformats.org/officeDocument/2006/relationships/image" Target="media/image4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7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