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0" w:before="0"/>
        <w:jc w:val="center"/>
      </w:pPr>
      <w:r>
        <w:rPr>
          <w:rFonts w:ascii="Arial" w:cs="Arial" w:eastAsia="Arial" w:hAnsi="Arial"/>
          <w:b/>
          <w:bCs/>
          <w:color w:val="1A3C8F"/>
          <w:sz w:val="96"/>
          <w:szCs w:val="96"/>
        </w:rPr>
        <w:t xml:space="preserve">AVDAN</w:t>
      </w:r>
    </w:p>
    <w:p>
      <w:pPr>
        <w:spacing w:after="80" w:before="80"/>
        <w:jc w:val="center"/>
      </w:pPr>
      <w:r>
        <w:rPr>
          <w:rFonts w:ascii="Arial" w:cs="Arial" w:eastAsia="Arial" w:hAnsi="Arial"/>
          <w:color w:val="F5A623"/>
          <w:sz w:val="64"/>
          <w:szCs w:val="64"/>
        </w:rPr>
        <w:t xml:space="preserve">▲</w:t>
      </w:r>
    </w:p>
    <w:p>
      <w:pPr>
        <w:spacing w:after="120" w:before="120"/>
        <w:jc w:val="center"/>
      </w:pPr>
      <w:r>
        <w:rPr>
          <w:rFonts w:ascii="Arial" w:cs="Arial" w:eastAsia="Arial" w:hAnsi="Arial"/>
          <w:b/>
          <w:bCs/>
          <w:color w:val="1A1A1A"/>
          <w:sz w:val="44"/>
          <w:szCs w:val="44"/>
        </w:rPr>
        <w:t xml:space="preserve">System Architecture Document</w:t>
      </w:r>
    </w:p>
    <w:p>
      <w:pPr>
        <w:spacing w:after="80" w:before="80"/>
        <w:jc w:val="center"/>
      </w:pPr>
      <w:r>
        <w:rPr>
          <w:rFonts w:ascii="Arial" w:cs="Arial" w:eastAsia="Arial" w:hAnsi="Arial"/>
          <w:i/>
          <w:iCs/>
          <w:color w:val="555555"/>
          <w:sz w:val="28"/>
          <w:szCs w:val="28"/>
        </w:rPr>
        <w:t xml:space="preserve">Logistics + Commerce Platform</w:t>
      </w:r>
    </w:p>
    <w:p>
      <w:pPr>
        <w:spacing w:after="60" w:before="60"/>
      </w:pPr>
      <w:r>
        <w:t xml:space="preserve"/>
      </w:r>
    </w:p>
    <w:p>
      <w:pPr>
        <w:spacing w:after="60" w:before="6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C8F"/>
                <w:sz w:val="20"/>
                <w:szCs w:val="20"/>
              </w:rPr>
              <w:t xml:space="preserve">Version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2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C8F"/>
                <w:sz w:val="20"/>
                <w:szCs w:val="20"/>
              </w:rPr>
              <w:t xml:space="preserve">Status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Confidential</w:t>
            </w:r>
          </w:p>
        </w:tc>
      </w:tr>
      <w:tr>
        <w:tc>
          <w:tcPr>
            <w:tcW w:type="dxa" w:w="2520"/>
            <w:tcBorders>
              <w:top w:val="single" w:color="CCCCCC" w:sz="1"/>
              <w:left w:val="single" w:color="CCCCCC" w:sz="1"/>
              <w:bottom w:val="single" w:color="CCCCCC" w:sz="1"/>
              <w:right w:val="single" w:color="CCCCCC" w:sz="1"/>
            </w:tcBorders>
            <w:shd w:fill="E8EEF9" w:val="clear"/>
            <w:tcMar>
              <w:top w:type="dxa" w:w="80"/>
              <w:left w:type="dxa" w:w="120"/>
              <w:bottom w:type="dxa" w:w="80"/>
              <w:right w:type="dxa" w:w="120"/>
            </w:tcMar>
          </w:tcPr>
          <w:p>
            <w:r>
              <w:rPr>
                <w:rFonts w:ascii="Arial" w:cs="Arial" w:eastAsia="Arial" w:hAnsi="Arial"/>
                <w:b/>
                <w:bCs/>
                <w:color w:val="1A3C8F"/>
                <w:sz w:val="20"/>
                <w:szCs w:val="20"/>
              </w:rPr>
              <w:t xml:space="preserve">Classification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Use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 Executive Summary</w:t>
            </w:r>
          </w:p>
        </w:tc>
      </w:tr>
    </w:tbl>
    <w:p>
      <w:pPr>
        <w:spacing w:after="60" w:before="60"/>
      </w:pPr>
      <w:r>
        <w:t xml:space="preserve"/>
      </w:r>
    </w:p>
    <w:p>
      <w:pPr>
        <w:spacing w:after="80" w:before="80"/>
      </w:pPr>
      <w:r>
        <w:rPr>
          <w:rFonts w:ascii="Arial" w:cs="Arial" w:eastAsia="Arial" w:hAnsi="Arial"/>
          <w:color w:val="1A1A1A"/>
          <w:sz w:val="22"/>
          <w:szCs w:val="22"/>
        </w:rPr>
        <w:t xml:space="preserve">AVDAN is a multi-role logistics and commerce platform that connects Customers, Vendors, Riders, Agent Hubs, and Administrators within a single, tightly coordinated operational system.</w:t>
      </w:r>
    </w:p>
    <w:p>
      <w:pPr>
        <w:spacing w:after="60" w:before="60"/>
      </w:pPr>
      <w:r>
        <w:t xml:space="preserve"/>
      </w:r>
    </w:p>
    <w:p>
      <w:pPr>
        <w:spacing w:after="80" w:before="80"/>
      </w:pPr>
      <w:r>
        <w:rPr>
          <w:rFonts w:ascii="Arial" w:cs="Arial" w:eastAsia="Arial" w:hAnsi="Arial"/>
          <w:color w:val="1A1A1A"/>
          <w:sz w:val="22"/>
          <w:szCs w:val="22"/>
        </w:rPr>
        <w:t xml:space="preserve">The platform manages the full order lifecycle — from customer purchase through vendor preparation, rider dispatch, agent hub quality assurance, last-mile delivery, and automated payment release via escrow.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9" w:val="clear"/>
            <w:tcMar>
              <w:top w:type="dxa" w:w="120"/>
              <w:left w:type="dxa" w:w="200"/>
              <w:bottom w:type="dxa" w:w="120"/>
              <w:right w:type="dxa" w:w="200"/>
            </w:tcMar>
          </w:tcPr>
          <w:p>
            <w:r>
              <w:rPr>
                <w:rFonts w:ascii="Arial" w:cs="Arial" w:eastAsia="Arial" w:hAnsi="Arial"/>
                <w:i/>
                <w:iCs/>
                <w:color w:val="1A3C8F"/>
                <w:sz w:val="22"/>
                <w:szCs w:val="22"/>
              </w:rPr>
              <w:t xml:space="preserve">Core Design Principle: Every actor on the platform operates within clearly defined state transitions. No money moves, no status changes, and no notifications fire outside of the defined lifecycle engine.</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Platform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c>
          <w:tcPr>
            <w:tcW w:type="dxa" w:w="30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orders, track delivery, receive goods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App / Web</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Accept orders, prepare goods for pickup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Collect from vendor, deliver to 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Mobile App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Hub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 verification + dispatch coordination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Hub Portal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oversight, analytics,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Panel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 resolution, user assistance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 Dashboard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2. System Architecture Overview</w:t>
            </w:r>
          </w:p>
        </w:tc>
      </w:tr>
    </w:tbl>
    <w:p>
      <w:pPr>
        <w:spacing w:after="60" w:before="60"/>
      </w:pPr>
      <w:r>
        <w:t xml:space="preserve"/>
      </w:r>
    </w:p>
    <w:p>
      <w:pPr>
        <w:spacing w:after="80" w:before="80"/>
      </w:pPr>
      <w:r>
        <w:rPr>
          <w:rFonts w:ascii="Arial" w:cs="Arial" w:eastAsia="Arial" w:hAnsi="Arial"/>
          <w:color w:val="1A1A1A"/>
          <w:sz w:val="22"/>
          <w:szCs w:val="22"/>
        </w:rPr>
        <w:t xml:space="preserve">AVDAN is structured as a modular monolith at MVP stage, designed to be decomposed into microservices as traffic and team size demands. The backend is built on FastAPI with PostgreSQL as the primary data store, Redis for caching and real-time coordination, and WebSockets for live tracking.</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9" w:val="clear"/>
            <w:tcMar>
              <w:top w:type="dxa" w:w="120"/>
              <w:left w:type="dxa" w:w="200"/>
              <w:bottom w:type="dxa" w:w="120"/>
              <w:right w:type="dxa" w:w="200"/>
            </w:tcMar>
          </w:tcPr>
          <w:p>
            <w:r>
              <w:rPr>
                <w:rFonts w:ascii="Arial" w:cs="Arial" w:eastAsia="Arial" w:hAnsi="Arial"/>
                <w:i/>
                <w:iCs/>
                <w:color w:val="1A3C8F"/>
                <w:sz w:val="22"/>
                <w:szCs w:val="22"/>
              </w:rPr>
              <w:t xml:space="preserve">Architecture Layer Model:
Client Layer → API Gateway → Application Services → Data Layer → Infrastructure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App, Vendor Dashboard, Rider App, Agent Hub Portal, Admin Panel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 / CSS / JavaScript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Single entry point, JWT auth, rate limiting, request routing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Nginx + FastAPI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Services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Payment, Dispatch, Notification, Tracking, Auth,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Layer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tracking, order updates, rider location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WebSockets + Redis Pub/Sub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storage, relations, audit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Cache Layer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 state, rate limiting, real-time coordination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 Jobs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release, reminders, reporting, cleanup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Celery + Redis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assets, QA photos, receipts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Local / Object Storage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3. Frontend Applications</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3.1 Customer App</w:t>
      </w:r>
    </w:p>
    <w:p>
      <w:pPr>
        <w:spacing w:after="80" w:before="80"/>
      </w:pPr>
      <w:r>
        <w:rPr>
          <w:rFonts w:ascii="Arial" w:cs="Arial" w:eastAsia="Arial" w:hAnsi="Arial"/>
          <w:color w:val="1A1A1A"/>
          <w:sz w:val="22"/>
          <w:szCs w:val="22"/>
        </w:rPr>
        <w:t xml:space="preserve">The primary consumer-facing interface. Customers browse vendors, place orders, track delivery in real time, and receive notifications at every lifecycle transition.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Phone/email registration, OTP verification, JWT session management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Discovery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Browse vendors by category, location, rating, availability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Catalog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products, quantities, pricing, vendor-specific rules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Cart &amp; Checkout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Cart management, address selection, order summary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 Checkout integration, escrow initiation on capture, payment confirmation via webhook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Tracking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rider location, order status updates, ETA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Past orders, reorder capability, receipt download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Ratings &amp; Reviews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Rate vendor, rate rider, submit delivery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Dispute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Raise issues, upload evidence, track resolution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Push notifications for all lifecycle events</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3.2 Vendor Dashboard</w:t>
      </w:r>
    </w:p>
    <w:p>
      <w:pPr>
        <w:spacing w:after="80" w:before="80"/>
      </w:pPr>
      <w:r>
        <w:rPr>
          <w:rFonts w:ascii="Arial" w:cs="Arial" w:eastAsia="Arial" w:hAnsi="Arial"/>
          <w:color w:val="1A1A1A"/>
          <w:sz w:val="22"/>
          <w:szCs w:val="22"/>
        </w:rPr>
        <w:t xml:space="preserve">Web-based dashboard for vendors to manage their storefront, accept or reject incoming orders, update preparation status, and monitor business performance.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registration, document upload, approval workflow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Menu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Create/edit products, set prices, toggle availability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incoming orders, accept/reject with reason, update prep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Inventory Alerts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stock warnings, product suspension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Coordination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assigned rider, communicate pickup readiness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Earnings Dashboard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Paystack-held balance, pending releases, payout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Daily/weekly/monthly order volume, revenue, rejection rates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 Tickets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Raise and track platform support requests</w:t>
            </w:r>
          </w:p>
        </w:tc>
      </w:tr>
    </w:tbl>
    <w:p>
      <w:pPr>
        <w:spacing w:after="60" w:before="60"/>
      </w:pPr>
      <w:r>
        <w:t xml:space="preserve"/>
      </w:r>
    </w:p>
    <w:p>
      <w:r>
        <w:br w:type="page"/>
      </w:r>
    </w:p>
    <w:p>
      <w:pPr>
        <w:pStyle w:val="Heading2"/>
        <w:spacing w:after="120" w:before="300"/>
      </w:pPr>
      <w:r>
        <w:rPr>
          <w:rFonts w:ascii="Arial" w:cs="Arial" w:eastAsia="Arial" w:hAnsi="Arial"/>
          <w:b/>
          <w:bCs/>
          <w:color w:val="1A3C8F"/>
          <w:sz w:val="28"/>
          <w:szCs w:val="28"/>
        </w:rPr>
        <w:t xml:space="preserve">3.3 Rider App</w:t>
      </w:r>
    </w:p>
    <w:p>
      <w:pPr>
        <w:spacing w:after="80" w:before="80"/>
      </w:pPr>
      <w:r>
        <w:rPr>
          <w:rFonts w:ascii="Arial" w:cs="Arial" w:eastAsia="Arial" w:hAnsi="Arial"/>
          <w:color w:val="1A1A1A"/>
          <w:sz w:val="22"/>
          <w:szCs w:val="22"/>
        </w:rPr>
        <w:t xml:space="preserve">Mobile-first application for riders to receive delivery assignments, navigate routes, confirm pickups, complete QA handoff at Agent Hubs, and confirm deliveries.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registration, document verification, onboarding approval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Availability Toggle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 online/offline, location broadcasting to dispatch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 assignment notification, accept or decline with timeout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Navigation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pickup navigation, Agent Hub routing, delivery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Pickup Confirmation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Barcode/QR scan or manual confirmation at vendor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Hub Handoff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 to hub, handoff confirmation, await re-assignment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Confirmation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signature or OTP confirmation, photo proof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Earnings Tracker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Per-delivery earnings, daily totals, payout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 delays, accidents, failed deliveries with evidence</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3.4 Agent Hub Portal</w:t>
      </w:r>
    </w:p>
    <w:p>
      <w:pPr>
        <w:spacing w:after="80" w:before="80"/>
      </w:pPr>
      <w:r>
        <w:rPr>
          <w:rFonts w:ascii="Arial" w:cs="Arial" w:eastAsia="Arial" w:hAnsi="Arial"/>
          <w:color w:val="1A1A1A"/>
          <w:sz w:val="22"/>
          <w:szCs w:val="22"/>
        </w:rPr>
        <w:t xml:space="preserve">The Agent Hub is a physical operations center staffed by AVDAN agents. The portal enables QA inspection of goods, dispatch coordination of riders, and hub-level operations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Inbound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arriving orders from riders, match to manifests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 Inspection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Inspect goods against order, mark pass/fail, photo 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Failed QA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vendor re-preparation or customer refund initiation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Dispatch Console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Assign available riders to outbound deliveries, zone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Hub 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Throughput volume, QA pass rates, average dwell time per 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 Coordination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View rider availability, communicate ETAs, reassign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Exception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 damaged goods, missing items, dispute escalation</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3.5 Admin Panel</w:t>
      </w:r>
    </w:p>
    <w:p>
      <w:pPr>
        <w:spacing w:after="80" w:before="80"/>
      </w:pPr>
      <w:r>
        <w:rPr>
          <w:rFonts w:ascii="Arial" w:cs="Arial" w:eastAsia="Arial" w:hAnsi="Arial"/>
          <w:color w:val="1A1A1A"/>
          <w:sz w:val="22"/>
          <w:szCs w:val="22"/>
        </w:rPr>
        <w:t xml:space="preserve">The central command interface for AVDAN operations. Provides full platform visibility, configuration control, financial oversight, and dispute resolution capability.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KPIs: active orders, riders online, hubs active, revenue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Manage customers, vendors, riders, agents — approve, suspend, ban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order history, state override capability, manual interventions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Monitor held funds, trigger releases, investigate discrepancies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Dispute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disputes, examine evidence, deliver binding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Configuration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zone settings, fee structures, commission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&amp;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GMV, cohort analysis, operational metrics, exports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Configure system notifications, templates,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Immutable log of all state transitions and admin actions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4. Backend Service Architecture</w:t>
            </w:r>
          </w:p>
        </w:tc>
      </w:tr>
    </w:tbl>
    <w:p>
      <w:pPr>
        <w:spacing w:after="60" w:before="60"/>
      </w:pPr>
      <w:r>
        <w:t xml:space="preserve"/>
      </w:r>
    </w:p>
    <w:p>
      <w:pPr>
        <w:spacing w:after="80" w:before="80"/>
      </w:pPr>
      <w:r>
        <w:rPr>
          <w:rFonts w:ascii="Arial" w:cs="Arial" w:eastAsia="Arial" w:hAnsi="Arial"/>
          <w:color w:val="1A1A1A"/>
          <w:sz w:val="22"/>
          <w:szCs w:val="22"/>
        </w:rPr>
        <w:t xml:space="preserve">The backend is organized into distinct service modules within a single FastAPI application. Each module owns a specific domain and exposes internal service interfaces. This structure enables future microservice extraction without rewriting business logic.</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4.1 Service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Service Module</w:t>
            </w:r>
          </w:p>
        </w:tc>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sessions, JWT lifecycle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login, refresh, revoke, RBAC enforcement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lifecycle state machine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transition states, validate actors, emit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 escrow engine, Transfer &amp; Refund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 Charge (capture), hold in AVDAN balance, Paystack Transfer (vendor payout), Paystack Refund (customer), reconcile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Dispatch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 assignment engine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Match rider to order, zone logic, timeout + reassign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Tracking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location and ETA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 rider GPS, broadcast via WebSocket, ETA calc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Multi-channel notification dispatch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Push, SMS, in-app — triggered by order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hub inspection workflow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inspection, pass/fail decisions, exception routing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management and catalog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Onboarding, product management, availability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metrics and reporting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Aggregate events, compute KPIs, serve dashboards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 Service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 intake and resolution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dispute, evidence attachment, admin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configuration and oversight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actions, config changes, escrow interventions</w:t>
            </w:r>
          </w:p>
        </w:tc>
      </w:tr>
    </w:tbl>
    <w:p>
      <w:pPr>
        <w:spacing w:after="60" w:before="60"/>
      </w:pPr>
      <w:r>
        <w:t xml:space="preserve"/>
      </w:r>
    </w:p>
    <w:p>
      <w:r>
        <w:br w:type="page"/>
      </w:r>
    </w:p>
    <w:p>
      <w:pPr>
        <w:pStyle w:val="Heading2"/>
        <w:spacing w:after="120" w:before="300"/>
      </w:pPr>
      <w:r>
        <w:rPr>
          <w:rFonts w:ascii="Arial" w:cs="Arial" w:eastAsia="Arial" w:hAnsi="Arial"/>
          <w:b/>
          <w:bCs/>
          <w:color w:val="1A3C8F"/>
          <w:sz w:val="28"/>
          <w:szCs w:val="28"/>
        </w:rPr>
        <w:t xml:space="preserve">4.2 Order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9" w:val="clear"/>
            <w:tcMar>
              <w:top w:type="dxa" w:w="120"/>
              <w:left w:type="dxa" w:w="200"/>
              <w:bottom w:type="dxa" w:w="120"/>
              <w:right w:type="dxa" w:w="200"/>
            </w:tcMar>
          </w:tcPr>
          <w:p>
            <w:r>
              <w:rPr>
                <w:rFonts w:ascii="Arial" w:cs="Arial" w:eastAsia="Arial" w:hAnsi="Arial"/>
                <w:i/>
                <w:iCs/>
                <w:color w:val="1A3C8F"/>
                <w:sz w:val="22"/>
                <w:szCs w:val="22"/>
              </w:rPr>
              <w:t xml:space="preserve">The Order Service is the most critical service in AVDAN. Every major system interaction — payment, dispatch, QA, notifications — is triggered by a state transition. No service should modify order state directly; all transitions flow through the Order 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Next States</w:t>
            </w:r>
          </w:p>
        </w:tc>
        <w:tc>
          <w:tcPr>
            <w:tcW w:type="dxa" w:w="28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submits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CANCELLED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Reserve inventory check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Payment gateway confirms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VENDOR_NOTIFIED, REFUND_INITIATED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funded, vendor notified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VENDOR_ACCEPTED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accepts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PREPARING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Dispatch engine activated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VENDOR_REJECTED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rejects order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REFUND_INITIATED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released to customer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PREPARING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marks preparation started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READY_FOR_PICKUP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assignment begins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READY_FOR_PICKUP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marks order ready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PICKED_UP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 navigates to vendor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PICKED_UP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confirms pickup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IN_TRANSIT_TO_HUB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ETA to hub calculated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IN_TRANSIT_TO_HUB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 departs vendor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AT_HUB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tracking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AT_HUB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arrives at Agent Hub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QA_IN_PROGRESS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hub notified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QA_IN_PROGRESS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begins inspection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QA_PASSED, QA_FAILED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Timer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QA_PASSED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approves goods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OUT_FOR_DELIVERY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dispatched to customer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QA_FAILED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rejects goods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VENDOR_REMEDIATION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 admin notified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OUT_FOR_DELIVERY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departs hub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DELIVERED, FAILED_DELIVERY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notified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Customer/OTP confirms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PAYMENT_RELEASE_PENDING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release timer starts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PAYMENT_RELEASED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Auto/manual release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paid, order closed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raises dispute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DISPUTE_RESOLVED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held, admin alerted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Pre-pickup cancellation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REFUND_INITIATED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released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5. Database Architecture</w:t>
            </w:r>
          </w:p>
        </w:tc>
      </w:tr>
    </w:tbl>
    <w:p>
      <w:pPr>
        <w:spacing w:after="60" w:before="60"/>
      </w:pPr>
      <w:r>
        <w:t xml:space="preserve"/>
      </w:r>
    </w:p>
    <w:p>
      <w:pPr>
        <w:spacing w:after="80" w:before="80"/>
      </w:pPr>
      <w:r>
        <w:rPr>
          <w:rFonts w:ascii="Arial" w:cs="Arial" w:eastAsia="Arial" w:hAnsi="Arial"/>
          <w:color w:val="1A1A1A"/>
          <w:sz w:val="22"/>
          <w:szCs w:val="22"/>
        </w:rPr>
        <w:t xml:space="preserve">AVDAN uses PostgreSQL as its primary relational database. The schema is designed around the order lifecycle, with strict foreign key relationships ensuring data integrity across the platform.</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platform actors (polymorphic)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role, email, phone, status, created_at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business profiles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user_id, name, zone_id, rating,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product catalog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vendor_id, name, price, available, stock_qty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 profiles + status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user_id, zone_id, online, current_lat, current_lng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agent_hubs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hub locations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zone_id, lat, lng, capacity, active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records + state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customer_id, vendor_id, rider_id, hub_id, status, 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order_items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 items per order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order_id, product_id, quantity, unit_price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order_events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Immutable state transition log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order_id, from_state, to_state, actor_id,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escrow_transactions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 escrow records — one per order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order_id, amount, status, held_at, released_at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delivery_zones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Geographic service zones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name, polygon_coordinates,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qa_inspections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Hub QA records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order_id, agent_id, result, notes, evidence_urls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Customer/vendor disputes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order_id, raised_by, reason, status, resolution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dispatch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user_id, type, channel, content, sent_at, read_at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rider_locations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Time-series location log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rider_id, lat, lng, recorded_at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audit_log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action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actor_id, action, target_type, target_id, timestamp</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5.2 Critical Design Decisions</w:t>
      </w:r>
    </w:p>
    <w:p>
      <w:pPr>
        <w:pStyle w:val="ListParagraph"/>
        <w:numPr>
          <w:ilvl w:val="0"/>
          <w:numId w:val="2"/>
        </w:numPr>
        <w:spacing w:after="40" w:before="40"/>
      </w:pPr>
      <w:r>
        <w:rPr>
          <w:rFonts w:ascii="Arial" w:cs="Arial" w:eastAsia="Arial" w:hAnsi="Arial"/>
          <w:b w:val="false"/>
          <w:bCs w:val="false"/>
          <w:color w:val="1A1A1A"/>
          <w:sz w:val="22"/>
          <w:szCs w:val="22"/>
        </w:rPr>
        <w:t xml:space="preserve">order_events is append-only. States are never updated — each transition creates a new event row. This enables complete audit trails and dispute evidence.</w:t>
      </w:r>
    </w:p>
    <w:p>
      <w:pPr>
        <w:pStyle w:val="ListParagraph"/>
        <w:numPr>
          <w:ilvl w:val="0"/>
          <w:numId w:val="2"/>
        </w:numPr>
        <w:spacing w:after="40" w:before="40"/>
      </w:pPr>
      <w:r>
        <w:rPr>
          <w:rFonts w:ascii="Arial" w:cs="Arial" w:eastAsia="Arial" w:hAnsi="Arial"/>
          <w:b w:val="false"/>
          <w:bCs w:val="false"/>
          <w:color w:val="1A1A1A"/>
          <w:sz w:val="22"/>
          <w:szCs w:val="22"/>
        </w:rPr>
        <w:t xml:space="preserve">escrow_transactions holds Paystack payment data separately from order records. The Paystack reference and transfer reference are stored here. A payment record persists even if an order is cancelled — full lifecycle tracked independently.</w:t>
      </w:r>
    </w:p>
    <w:p>
      <w:pPr>
        <w:pStyle w:val="ListParagraph"/>
        <w:numPr>
          <w:ilvl w:val="0"/>
          <w:numId w:val="2"/>
        </w:numPr>
        <w:spacing w:after="40" w:before="40"/>
      </w:pPr>
      <w:r>
        <w:rPr>
          <w:rFonts w:ascii="Arial" w:cs="Arial" w:eastAsia="Arial" w:hAnsi="Arial"/>
          <w:b w:val="false"/>
          <w:bCs w:val="false"/>
          <w:color w:val="1A1A1A"/>
          <w:sz w:val="22"/>
          <w:szCs w:val="22"/>
        </w:rPr>
        <w:t xml:space="preserve">rider_locations uses time-series partitioning. Location data is high-volume; partitioning by day prevents table bloat and enables efficient cleanup.</w:t>
      </w:r>
    </w:p>
    <w:p>
      <w:pPr>
        <w:pStyle w:val="ListParagraph"/>
        <w:numPr>
          <w:ilvl w:val="0"/>
          <w:numId w:val="2"/>
        </w:numPr>
        <w:spacing w:after="40" w:before="40"/>
      </w:pPr>
      <w:r>
        <w:rPr>
          <w:rFonts w:ascii="Arial" w:cs="Arial" w:eastAsia="Arial" w:hAnsi="Arial"/>
          <w:b w:val="false"/>
          <w:bCs w:val="false"/>
          <w:color w:val="1A1A1A"/>
          <w:sz w:val="22"/>
          <w:szCs w:val="22"/>
        </w:rPr>
        <w:t xml:space="preserve">All monetary values stored as integers in the smallest currency unit (kobo for NGN). No floating point in financial data.</w:t>
      </w:r>
    </w:p>
    <w:p>
      <w:pPr>
        <w:pStyle w:val="ListParagraph"/>
        <w:numPr>
          <w:ilvl w:val="0"/>
          <w:numId w:val="2"/>
        </w:numPr>
        <w:spacing w:after="40" w:before="40"/>
      </w:pPr>
      <w:r>
        <w:rPr>
          <w:rFonts w:ascii="Arial" w:cs="Arial" w:eastAsia="Arial" w:hAnsi="Arial"/>
          <w:b w:val="false"/>
          <w:bCs w:val="false"/>
          <w:color w:val="1A1A1A"/>
          <w:sz w:val="22"/>
          <w:szCs w:val="22"/>
        </w:rPr>
        <w:t xml:space="preserve">users table uses a role enum field with separate profile tables (vendors, riders) linked by user_id — polymorphic design without inheritance complexity.</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6. Authentication &amp; Security Architecture</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6.1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6600"/>
      </w:tblGrid>
      <w:tr>
        <w:tc>
          <w:tcPr>
            <w:tcW w:type="dxa" w:w="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1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registers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Phone/email + password. OTP sent for verification.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OTP verified</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Account activated. Role assigned (customer/vendor/rider).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Credentials validated. Access token (15 min) + refresh token (7 days) issued.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request</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Access token sent in Authorization header as Bearer token.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refresh</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Refresh token used to issue new access token without re-login.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Logout/Revoke</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Refresh token invalidated in Redis token blacklist.</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6.2 RBAC Enforcement</w:t>
      </w:r>
    </w:p>
    <w:p>
      <w:pPr>
        <w:spacing w:after="80" w:before="80"/>
      </w:pPr>
      <w:r>
        <w:rPr>
          <w:rFonts w:ascii="Arial" w:cs="Arial" w:eastAsia="Arial" w:hAnsi="Arial"/>
          <w:color w:val="1A1A1A"/>
          <w:sz w:val="22"/>
          <w:szCs w:val="22"/>
        </w:rPr>
        <w:t xml:space="preserve">Every API endpoint is decorated with role requirements. The auth middleware validates the JWT, extracts the user role, and enforces access before the handler executes.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 orders, own profile, vendor catalog, dispute submission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Own orders (inbound), own catalog, own earnings, own analytics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 orders only, own location updates, own earnings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Hub orders only, QA operations, dispatch within zone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order access, dispute management, user communication</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platform access, config changes, financial operations, user management</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6.3 Security Controls</w:t>
      </w:r>
    </w:p>
    <w:p>
      <w:pPr>
        <w:pStyle w:val="ListParagraph"/>
        <w:numPr>
          <w:ilvl w:val="0"/>
          <w:numId w:val="2"/>
        </w:numPr>
        <w:spacing w:after="40" w:before="40"/>
      </w:pPr>
      <w:r>
        <w:rPr>
          <w:rFonts w:ascii="Arial" w:cs="Arial" w:eastAsia="Arial" w:hAnsi="Arial"/>
          <w:b w:val="false"/>
          <w:bCs w:val="false"/>
          <w:color w:val="1A1A1A"/>
          <w:sz w:val="22"/>
          <w:szCs w:val="22"/>
        </w:rPr>
        <w:t xml:space="preserve">All inter-service communication is internal and not exposed to the public internet</w:t>
      </w:r>
    </w:p>
    <w:p>
      <w:pPr>
        <w:pStyle w:val="ListParagraph"/>
        <w:numPr>
          <w:ilvl w:val="0"/>
          <w:numId w:val="2"/>
        </w:numPr>
        <w:spacing w:after="40" w:before="40"/>
      </w:pPr>
      <w:r>
        <w:rPr>
          <w:rFonts w:ascii="Arial" w:cs="Arial" w:eastAsia="Arial" w:hAnsi="Arial"/>
          <w:b w:val="false"/>
          <w:bCs w:val="false"/>
          <w:color w:val="1A1A1A"/>
          <w:sz w:val="22"/>
          <w:szCs w:val="22"/>
        </w:rPr>
        <w:t xml:space="preserve">Nginx terminates SSL/TLS. All traffic is HTTPS. HTTP redirects to HTTPS.</w:t>
      </w:r>
    </w:p>
    <w:p>
      <w:pPr>
        <w:pStyle w:val="ListParagraph"/>
        <w:numPr>
          <w:ilvl w:val="0"/>
          <w:numId w:val="2"/>
        </w:numPr>
        <w:spacing w:after="40" w:before="40"/>
      </w:pPr>
      <w:r>
        <w:rPr>
          <w:rFonts w:ascii="Arial" w:cs="Arial" w:eastAsia="Arial" w:hAnsi="Arial"/>
          <w:b w:val="false"/>
          <w:bCs w:val="false"/>
          <w:color w:val="1A1A1A"/>
          <w:sz w:val="22"/>
          <w:szCs w:val="22"/>
        </w:rPr>
        <w:t xml:space="preserve">Rate limiting applied at Nginx level per IP and per authenticated user</w:t>
      </w:r>
    </w:p>
    <w:p>
      <w:pPr>
        <w:pStyle w:val="ListParagraph"/>
        <w:numPr>
          <w:ilvl w:val="0"/>
          <w:numId w:val="2"/>
        </w:numPr>
        <w:spacing w:after="40" w:before="40"/>
      </w:pPr>
      <w:r>
        <w:rPr>
          <w:rFonts w:ascii="Arial" w:cs="Arial" w:eastAsia="Arial" w:hAnsi="Arial"/>
          <w:b w:val="false"/>
          <w:bCs w:val="false"/>
          <w:color w:val="1A1A1A"/>
          <w:sz w:val="22"/>
          <w:szCs w:val="22"/>
        </w:rPr>
        <w:t xml:space="preserve">Input validation on all endpoints using Pydantic models (FastAPI native)</w:t>
      </w:r>
    </w:p>
    <w:p>
      <w:pPr>
        <w:pStyle w:val="ListParagraph"/>
        <w:numPr>
          <w:ilvl w:val="0"/>
          <w:numId w:val="2"/>
        </w:numPr>
        <w:spacing w:after="40" w:before="40"/>
      </w:pPr>
      <w:r>
        <w:rPr>
          <w:rFonts w:ascii="Arial" w:cs="Arial" w:eastAsia="Arial" w:hAnsi="Arial"/>
          <w:b w:val="false"/>
          <w:bCs w:val="false"/>
          <w:color w:val="1A1A1A"/>
          <w:sz w:val="22"/>
          <w:szCs w:val="22"/>
        </w:rPr>
        <w:t xml:space="preserve">Sensitive fields (passwords, payment tokens) are never logged</w:t>
      </w:r>
    </w:p>
    <w:p>
      <w:pPr>
        <w:pStyle w:val="ListParagraph"/>
        <w:numPr>
          <w:ilvl w:val="0"/>
          <w:numId w:val="2"/>
        </w:numPr>
        <w:spacing w:after="40" w:before="40"/>
      </w:pPr>
      <w:r>
        <w:rPr>
          <w:rFonts w:ascii="Arial" w:cs="Arial" w:eastAsia="Arial" w:hAnsi="Arial"/>
          <w:b w:val="false"/>
          <w:bCs w:val="false"/>
          <w:color w:val="1A1A1A"/>
          <w:sz w:val="22"/>
          <w:szCs w:val="22"/>
        </w:rPr>
        <w:t xml:space="preserve">Database queries use parameterized statements — no raw SQL string concatenation</w:t>
      </w:r>
    </w:p>
    <w:p>
      <w:pPr>
        <w:pStyle w:val="ListParagraph"/>
        <w:numPr>
          <w:ilvl w:val="0"/>
          <w:numId w:val="2"/>
        </w:numPr>
        <w:spacing w:after="40" w:before="40"/>
      </w:pPr>
      <w:r>
        <w:rPr>
          <w:rFonts w:ascii="Arial" w:cs="Arial" w:eastAsia="Arial" w:hAnsi="Arial"/>
          <w:b w:val="false"/>
          <w:bCs w:val="false"/>
          <w:color w:val="1A1A1A"/>
          <w:sz w:val="22"/>
          <w:szCs w:val="22"/>
        </w:rPr>
        <w:t xml:space="preserve">Rider location data is only accessible to the assigned order's customer and admin</w:t>
      </w:r>
    </w:p>
    <w:p>
      <w:pPr>
        <w:pStyle w:val="ListParagraph"/>
        <w:numPr>
          <w:ilvl w:val="0"/>
          <w:numId w:val="2"/>
        </w:numPr>
        <w:spacing w:after="40" w:before="40"/>
      </w:pPr>
      <w:r>
        <w:rPr>
          <w:rFonts w:ascii="Arial" w:cs="Arial" w:eastAsia="Arial" w:hAnsi="Arial"/>
          <w:b w:val="false"/>
          <w:bCs w:val="false"/>
          <w:color w:val="1A1A1A"/>
          <w:sz w:val="22"/>
          <w:szCs w:val="22"/>
        </w:rPr>
        <w:t xml:space="preserve">Financial operations require an additional admin confirmation step for amounts above threshold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7. Payment &amp; Escrow Architecture (Paystack)</w:t>
            </w:r>
          </w:p>
        </w:tc>
      </w:tr>
    </w:tbl>
    <w:p>
      <w:pPr>
        <w:spacing w:after="60" w:before="60"/>
      </w:pPr>
      <w:r>
        <w:t xml:space="preserve"/>
      </w:r>
    </w:p>
    <w:p>
      <w:pPr>
        <w:spacing w:after="80" w:before="80"/>
      </w:pPr>
      <w:r>
        <w:rPr>
          <w:rFonts w:ascii="Arial" w:cs="Arial" w:eastAsia="Arial" w:hAnsi="Arial"/>
          <w:color w:val="1A1A1A"/>
          <w:sz w:val="22"/>
          <w:szCs w:val="22"/>
        </w:rPr>
        <w:t xml:space="preserve">AVDAN uses Paystack as its payment gateway. Paystack handles customer payment capture. Funds land in the AVDAN Paystack merchant balance — the platform then acts as the escrow holder internally. Vendors receive payment only after successful delivery and QA pass, via Paystack\u2019s Transfer API. Refunds to customers are issued via Paystack\u2019s Refund API.</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7.1 Escrow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Escrow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 Charge API captures customer payment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Vendor rejects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released back to customer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 fails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held pending vendor remediation or refund decision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HELD (dispute)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confirmed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48-hour release window begins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PENDING_RELEASE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dispute within 48h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 escrow release to vendor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RELEASED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Dispute raised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Escrow frozen pending admin decision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FROZEN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resolves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split or fully released per decision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RESOLVED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9" w:val="clear"/>
            <w:tcMar>
              <w:top w:type="dxa" w:w="120"/>
              <w:left w:type="dxa" w:w="200"/>
              <w:bottom w:type="dxa" w:w="120"/>
              <w:right w:type="dxa" w:w="200"/>
            </w:tcMar>
          </w:tcPr>
          <w:p>
            <w:r>
              <w:rPr>
                <w:rFonts w:ascii="Arial" w:cs="Arial" w:eastAsia="Arial" w:hAnsi="Arial"/>
                <w:i/>
                <w:iCs/>
                <w:color w:val="1A3C8F"/>
                <w:sz w:val="22"/>
                <w:szCs w:val="22"/>
              </w:rPr>
              <w:t xml:space="preserve">Paystack Idempotency Rule: All Paystack Charge calls include a unique reference key. Paystack returns the same transaction result for duplicate references — preventing double charges on network retries. The AVDAN Payment Service stores the Paystack reference in escrow_transactions.paystack_reference and rejects duplicate keys before even calling Paystack.</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7.2 Platform Commission</w:t>
      </w:r>
    </w:p>
    <w:p>
      <w:pPr>
        <w:pStyle w:val="ListParagraph"/>
        <w:numPr>
          <w:ilvl w:val="0"/>
          <w:numId w:val="2"/>
        </w:numPr>
        <w:spacing w:after="40" w:before="40"/>
      </w:pPr>
      <w:r>
        <w:rPr>
          <w:rFonts w:ascii="Arial" w:cs="Arial" w:eastAsia="Arial" w:hAnsi="Arial"/>
          <w:b w:val="false"/>
          <w:bCs w:val="false"/>
          <w:color w:val="1A1A1A"/>
          <w:sz w:val="22"/>
          <w:szCs w:val="22"/>
        </w:rPr>
        <w:t xml:space="preserve">AVDAN deducts platform commission before issuing the Paystack Transfer to vendor</w:t>
      </w:r>
    </w:p>
    <w:p>
      <w:pPr>
        <w:pStyle w:val="ListParagraph"/>
        <w:numPr>
          <w:ilvl w:val="0"/>
          <w:numId w:val="2"/>
        </w:numPr>
        <w:spacing w:after="40" w:before="40"/>
      </w:pPr>
      <w:r>
        <w:rPr>
          <w:rFonts w:ascii="Arial" w:cs="Arial" w:eastAsia="Arial" w:hAnsi="Arial"/>
          <w:b w:val="false"/>
          <w:bCs w:val="false"/>
          <w:color w:val="1A1A1A"/>
          <w:sz w:val="22"/>
          <w:szCs w:val="22"/>
        </w:rPr>
        <w:t xml:space="preserve">Commission rates are configurable per vendor tier in the Admin Panel</w:t>
      </w:r>
    </w:p>
    <w:p>
      <w:pPr>
        <w:pStyle w:val="ListParagraph"/>
        <w:numPr>
          <w:ilvl w:val="0"/>
          <w:numId w:val="2"/>
        </w:numPr>
        <w:spacing w:after="40" w:before="40"/>
      </w:pPr>
      <w:r>
        <w:rPr>
          <w:rFonts w:ascii="Arial" w:cs="Arial" w:eastAsia="Arial" w:hAnsi="Arial"/>
          <w:b w:val="false"/>
          <w:bCs w:val="false"/>
          <w:color w:val="1A1A1A"/>
          <w:sz w:val="22"/>
          <w:szCs w:val="22"/>
        </w:rPr>
        <w:t xml:space="preserve">Vendor receives: order_total minus platform_commission minus any deductions</w:t>
      </w:r>
    </w:p>
    <w:p>
      <w:pPr>
        <w:pStyle w:val="ListParagraph"/>
        <w:numPr>
          <w:ilvl w:val="0"/>
          <w:numId w:val="2"/>
        </w:numPr>
        <w:spacing w:after="40" w:before="40"/>
      </w:pPr>
      <w:r>
        <w:rPr>
          <w:rFonts w:ascii="Arial" w:cs="Arial" w:eastAsia="Arial" w:hAnsi="Arial"/>
          <w:b w:val="false"/>
          <w:bCs w:val="false"/>
          <w:color w:val="1A1A1A"/>
          <w:sz w:val="22"/>
          <w:szCs w:val="22"/>
        </w:rPr>
        <w:t xml:space="preserve">Full financial audit trail maintained in escrow_transactions — Paystack reference stored on every record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8. Real-Time &amp; Tracking Architecture</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8.1 WebSocket Architecture</w:t>
      </w:r>
    </w:p>
    <w:p>
      <w:pPr>
        <w:spacing w:after="80" w:before="80"/>
      </w:pPr>
      <w:r>
        <w:rPr>
          <w:rFonts w:ascii="Arial" w:cs="Arial" w:eastAsia="Arial" w:hAnsi="Arial"/>
          <w:color w:val="1A1A1A"/>
          <w:sz w:val="22"/>
          <w:szCs w:val="22"/>
        </w:rPr>
        <w:t xml:space="preserve">Real-time communication is handled via WebSocket connections maintained between the server and active clients. Redis Pub/Sub is the message broker between the FastAPI application and the WebSocket gateway.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2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c>
          <w:tcPr>
            <w:tcW w:type="dxa" w:w="24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order:{order_id}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Vendor, Rider,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transitions, status updates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rider:{rider_id}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Rider App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Service, Customer, Agent Hub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GPS coordinates, availability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hub:{hub_id}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Hub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Dispatch Service,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arrivals, QA completions, capacity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admin:platform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services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Panel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Anomaly alerts, volume thresholds</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8.2 Rider Location Strategy</w:t>
      </w:r>
    </w:p>
    <w:p>
      <w:pPr>
        <w:pStyle w:val="ListParagraph"/>
        <w:numPr>
          <w:ilvl w:val="0"/>
          <w:numId w:val="2"/>
        </w:numPr>
        <w:spacing w:after="40" w:before="40"/>
      </w:pPr>
      <w:r>
        <w:rPr>
          <w:rFonts w:ascii="Arial" w:cs="Arial" w:eastAsia="Arial" w:hAnsi="Arial"/>
          <w:b w:val="false"/>
          <w:bCs w:val="false"/>
          <w:color w:val="1A1A1A"/>
          <w:sz w:val="22"/>
          <w:szCs w:val="22"/>
        </w:rPr>
        <w:t xml:space="preserve">Rider app broadcasts GPS every 5 seconds while on an active assignment</w:t>
      </w:r>
    </w:p>
    <w:p>
      <w:pPr>
        <w:pStyle w:val="ListParagraph"/>
        <w:numPr>
          <w:ilvl w:val="0"/>
          <w:numId w:val="2"/>
        </w:numPr>
        <w:spacing w:after="40" w:before="40"/>
      </w:pPr>
      <w:r>
        <w:rPr>
          <w:rFonts w:ascii="Arial" w:cs="Arial" w:eastAsia="Arial" w:hAnsi="Arial"/>
          <w:b w:val="false"/>
          <w:bCs w:val="false"/>
          <w:color w:val="1A1A1A"/>
          <w:sz w:val="22"/>
          <w:szCs w:val="22"/>
        </w:rPr>
        <w:t xml:space="preserve">Location stored in Redis (live state) and PostgreSQL rider_locations (audit trail)</w:t>
      </w:r>
    </w:p>
    <w:p>
      <w:pPr>
        <w:pStyle w:val="ListParagraph"/>
        <w:numPr>
          <w:ilvl w:val="0"/>
          <w:numId w:val="2"/>
        </w:numPr>
        <w:spacing w:after="40" w:before="40"/>
      </w:pPr>
      <w:r>
        <w:rPr>
          <w:rFonts w:ascii="Arial" w:cs="Arial" w:eastAsia="Arial" w:hAnsi="Arial"/>
          <w:b w:val="false"/>
          <w:bCs w:val="false"/>
          <w:color w:val="1A1A1A"/>
          <w:sz w:val="22"/>
          <w:szCs w:val="22"/>
        </w:rPr>
        <w:t xml:space="preserve">PostgreSQL location rows partitioned by day — automatically purged after 90 days</w:t>
      </w:r>
    </w:p>
    <w:p>
      <w:pPr>
        <w:pStyle w:val="ListParagraph"/>
        <w:numPr>
          <w:ilvl w:val="0"/>
          <w:numId w:val="2"/>
        </w:numPr>
        <w:spacing w:after="40" w:before="40"/>
      </w:pPr>
      <w:r>
        <w:rPr>
          <w:rFonts w:ascii="Arial" w:cs="Arial" w:eastAsia="Arial" w:hAnsi="Arial"/>
          <w:b w:val="false"/>
          <w:bCs w:val="false"/>
          <w:color w:val="1A1A1A"/>
          <w:sz w:val="22"/>
          <w:szCs w:val="22"/>
        </w:rPr>
        <w:t xml:space="preserve">ETA calculated server-side using distance + estimated speed — not reliant on third-party routing for core logic</w:t>
      </w:r>
    </w:p>
    <w:p>
      <w:pPr>
        <w:pStyle w:val="ListParagraph"/>
        <w:numPr>
          <w:ilvl w:val="0"/>
          <w:numId w:val="2"/>
        </w:numPr>
        <w:spacing w:after="40" w:before="40"/>
      </w:pPr>
      <w:r>
        <w:rPr>
          <w:rFonts w:ascii="Arial" w:cs="Arial" w:eastAsia="Arial" w:hAnsi="Arial"/>
          <w:b w:val="false"/>
          <w:bCs w:val="false"/>
          <w:color w:val="1A1A1A"/>
          <w:sz w:val="22"/>
          <w:szCs w:val="22"/>
        </w:rPr>
        <w:t xml:space="preserve">Customer app receives location updates via WebSocket — no polling required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9. Infrastructure Architecture</w:t>
            </w:r>
          </w:p>
        </w:tc>
      </w:tr>
    </w:tbl>
    <w:p>
      <w:pPr>
        <w:spacing w:after="60" w:before="60"/>
      </w:pPr>
      <w:r>
        <w:t xml:space="preserve"/>
      </w:r>
    </w:p>
    <w:p>
      <w:pPr>
        <w:spacing w:after="80" w:before="80"/>
      </w:pPr>
      <w:r>
        <w:rPr>
          <w:rFonts w:ascii="Arial" w:cs="Arial" w:eastAsia="Arial" w:hAnsi="Arial"/>
          <w:color w:val="1A1A1A"/>
          <w:sz w:val="22"/>
          <w:szCs w:val="22"/>
        </w:rPr>
        <w:t xml:space="preserve">AVDAN is self-hosted on Ubuntu VPS infrastructure. The architecture is designed for operational stability at MVP scale with a clear upgrade path as traffic grows.</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9.1 Server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3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Specification (MVP)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Server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application (primary)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vCPU / 8GB RAM / Ubuntu 22.04 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 Server 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application (secondary)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vCPU / 8GB RAM — manual failover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Server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primary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vCPU / 16GB RAM / 500GB SSD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Cache Server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 (cache + pub/sub + queue)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vCPU / 4GB 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Reverse Proxy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Nginx (SSL, load balancing, static)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vCPU / 2GB RAM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File Server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Media storage (QA photos, assets)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vCPU / 4GB RAM / 1TB storage</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9.2 Nginx Configuration Responsibilities</w:t>
      </w:r>
    </w:p>
    <w:p>
      <w:pPr>
        <w:pStyle w:val="ListParagraph"/>
        <w:numPr>
          <w:ilvl w:val="0"/>
          <w:numId w:val="2"/>
        </w:numPr>
        <w:spacing w:after="40" w:before="40"/>
      </w:pPr>
      <w:r>
        <w:rPr>
          <w:rFonts w:ascii="Arial" w:cs="Arial" w:eastAsia="Arial" w:hAnsi="Arial"/>
          <w:b w:val="false"/>
          <w:bCs w:val="false"/>
          <w:color w:val="1A1A1A"/>
          <w:sz w:val="22"/>
          <w:szCs w:val="22"/>
        </w:rPr>
        <w:t xml:space="preserve">SSL/TLS termination for all domains and subdomains</w:t>
      </w:r>
    </w:p>
    <w:p>
      <w:pPr>
        <w:pStyle w:val="ListParagraph"/>
        <w:numPr>
          <w:ilvl w:val="0"/>
          <w:numId w:val="2"/>
        </w:numPr>
        <w:spacing w:after="40" w:before="40"/>
      </w:pPr>
      <w:r>
        <w:rPr>
          <w:rFonts w:ascii="Arial" w:cs="Arial" w:eastAsia="Arial" w:hAnsi="Arial"/>
          <w:b w:val="false"/>
          <w:bCs w:val="false"/>
          <w:color w:val="1A1A1A"/>
          <w:sz w:val="22"/>
          <w:szCs w:val="22"/>
        </w:rPr>
        <w:t xml:space="preserve">Upstream proxying to FastAPI application servers</w:t>
      </w:r>
    </w:p>
    <w:p>
      <w:pPr>
        <w:pStyle w:val="ListParagraph"/>
        <w:numPr>
          <w:ilvl w:val="0"/>
          <w:numId w:val="2"/>
        </w:numPr>
        <w:spacing w:after="40" w:before="40"/>
      </w:pPr>
      <w:r>
        <w:rPr>
          <w:rFonts w:ascii="Arial" w:cs="Arial" w:eastAsia="Arial" w:hAnsi="Arial"/>
          <w:b w:val="false"/>
          <w:bCs w:val="false"/>
          <w:color w:val="1A1A1A"/>
          <w:sz w:val="22"/>
          <w:szCs w:val="22"/>
        </w:rPr>
        <w:t xml:space="preserve">Static file serving for frontend assets</w:t>
      </w:r>
    </w:p>
    <w:p>
      <w:pPr>
        <w:pStyle w:val="ListParagraph"/>
        <w:numPr>
          <w:ilvl w:val="0"/>
          <w:numId w:val="2"/>
        </w:numPr>
        <w:spacing w:after="40" w:before="40"/>
      </w:pPr>
      <w:r>
        <w:rPr>
          <w:rFonts w:ascii="Arial" w:cs="Arial" w:eastAsia="Arial" w:hAnsi="Arial"/>
          <w:b w:val="false"/>
          <w:bCs w:val="false"/>
          <w:color w:val="1A1A1A"/>
          <w:sz w:val="22"/>
          <w:szCs w:val="22"/>
        </w:rPr>
        <w:t xml:space="preserve">Rate limiting by IP address and by authenticated user</w:t>
      </w:r>
    </w:p>
    <w:p>
      <w:pPr>
        <w:pStyle w:val="ListParagraph"/>
        <w:numPr>
          <w:ilvl w:val="0"/>
          <w:numId w:val="2"/>
        </w:numPr>
        <w:spacing w:after="40" w:before="40"/>
      </w:pPr>
      <w:r>
        <w:rPr>
          <w:rFonts w:ascii="Arial" w:cs="Arial" w:eastAsia="Arial" w:hAnsi="Arial"/>
          <w:b w:val="false"/>
          <w:bCs w:val="false"/>
          <w:color w:val="1A1A1A"/>
          <w:sz w:val="22"/>
          <w:szCs w:val="22"/>
        </w:rPr>
        <w:t xml:space="preserve">CORS header management for approved origins</w:t>
      </w:r>
    </w:p>
    <w:p>
      <w:pPr>
        <w:pStyle w:val="ListParagraph"/>
        <w:numPr>
          <w:ilvl w:val="0"/>
          <w:numId w:val="2"/>
        </w:numPr>
        <w:spacing w:after="40" w:before="40"/>
      </w:pPr>
      <w:r>
        <w:rPr>
          <w:rFonts w:ascii="Arial" w:cs="Arial" w:eastAsia="Arial" w:hAnsi="Arial"/>
          <w:b w:val="false"/>
          <w:bCs w:val="false"/>
          <w:color w:val="1A1A1A"/>
          <w:sz w:val="22"/>
          <w:szCs w:val="22"/>
        </w:rPr>
        <w:t xml:space="preserve">WebSocket upgrade proxying for real-time connections</w:t>
      </w:r>
    </w:p>
    <w:p>
      <w:pPr>
        <w:pStyle w:val="ListParagraph"/>
        <w:numPr>
          <w:ilvl w:val="0"/>
          <w:numId w:val="2"/>
        </w:numPr>
        <w:spacing w:after="40" w:before="40"/>
      </w:pPr>
      <w:r>
        <w:rPr>
          <w:rFonts w:ascii="Arial" w:cs="Arial" w:eastAsia="Arial" w:hAnsi="Arial"/>
          <w:b w:val="false"/>
          <w:bCs w:val="false"/>
          <w:color w:val="1A1A1A"/>
          <w:sz w:val="22"/>
          <w:szCs w:val="22"/>
        </w:rPr>
        <w:t xml:space="preserve">Logging of all inbound requests with response codes and latencies</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9.3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200"/>
        <w:gridCol w:w="220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7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Backup Method</w:t>
            </w:r>
          </w:p>
        </w:tc>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pg_dump + WAL archiving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6 hours + 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days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RDB snapshots + AOF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15 minutes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Rsync to secondary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Nginx config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 repository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 every change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Indefinite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config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Encrypted secrets backup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every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Indefinite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10. Monitoring &amp; Observability</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10.1 Application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3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error rate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1% over 5 minutes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on-call engineer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response time (p99)</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2 seconds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Investigate slow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state transition failures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 alert + auto-retry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Paystack webhook / API errors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Any error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Immediate alert, escrow protection holds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Rider location gap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60 seconds on active order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dispatch + customer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QA dwell time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30 minutes per order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Alert hub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WebSocket connection drops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5% in 1 minute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Investigate infrastructure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 connection pool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80% utilization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Scale warning</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10.2 Business Metrics Dashboard (Admin)</w:t>
      </w:r>
    </w:p>
    <w:p>
      <w:pPr>
        <w:pStyle w:val="ListParagraph"/>
        <w:numPr>
          <w:ilvl w:val="0"/>
          <w:numId w:val="2"/>
        </w:numPr>
        <w:spacing w:after="40" w:before="40"/>
      </w:pPr>
      <w:r>
        <w:rPr>
          <w:rFonts w:ascii="Arial" w:cs="Arial" w:eastAsia="Arial" w:hAnsi="Arial"/>
          <w:b w:val="false"/>
          <w:bCs w:val="false"/>
          <w:color w:val="1A1A1A"/>
          <w:sz w:val="22"/>
          <w:szCs w:val="22"/>
        </w:rPr>
        <w:t xml:space="preserve">Gross Merchandise Value (GMV) — hourly, daily, monthly</w:t>
      </w:r>
    </w:p>
    <w:p>
      <w:pPr>
        <w:pStyle w:val="ListParagraph"/>
        <w:numPr>
          <w:ilvl w:val="0"/>
          <w:numId w:val="2"/>
        </w:numPr>
        <w:spacing w:after="40" w:before="40"/>
      </w:pPr>
      <w:r>
        <w:rPr>
          <w:rFonts w:ascii="Arial" w:cs="Arial" w:eastAsia="Arial" w:hAnsi="Arial"/>
          <w:b w:val="false"/>
          <w:bCs w:val="false"/>
          <w:color w:val="1A1A1A"/>
          <w:sz w:val="22"/>
          <w:szCs w:val="22"/>
        </w:rPr>
        <w:t xml:space="preserve">Order volume by state — active orders per lifecycle stage in real time</w:t>
      </w:r>
    </w:p>
    <w:p>
      <w:pPr>
        <w:pStyle w:val="ListParagraph"/>
        <w:numPr>
          <w:ilvl w:val="0"/>
          <w:numId w:val="2"/>
        </w:numPr>
        <w:spacing w:after="40" w:before="40"/>
      </w:pPr>
      <w:r>
        <w:rPr>
          <w:rFonts w:ascii="Arial" w:cs="Arial" w:eastAsia="Arial" w:hAnsi="Arial"/>
          <w:b w:val="false"/>
          <w:bCs w:val="false"/>
          <w:color w:val="1A1A1A"/>
          <w:sz w:val="22"/>
          <w:szCs w:val="22"/>
        </w:rPr>
        <w:t xml:space="preserve">Average delivery time — from PAID to DELIVERED</w:t>
      </w:r>
    </w:p>
    <w:p>
      <w:pPr>
        <w:pStyle w:val="ListParagraph"/>
        <w:numPr>
          <w:ilvl w:val="0"/>
          <w:numId w:val="2"/>
        </w:numPr>
        <w:spacing w:after="40" w:before="40"/>
      </w:pPr>
      <w:r>
        <w:rPr>
          <w:rFonts w:ascii="Arial" w:cs="Arial" w:eastAsia="Arial" w:hAnsi="Arial"/>
          <w:b w:val="false"/>
          <w:bCs w:val="false"/>
          <w:color w:val="1A1A1A"/>
          <w:sz w:val="22"/>
          <w:szCs w:val="22"/>
        </w:rPr>
        <w:t xml:space="preserve">QA pass rate — percentage of orders clearing hub inspection</w:t>
      </w:r>
    </w:p>
    <w:p>
      <w:pPr>
        <w:pStyle w:val="ListParagraph"/>
        <w:numPr>
          <w:ilvl w:val="0"/>
          <w:numId w:val="2"/>
        </w:numPr>
        <w:spacing w:after="40" w:before="40"/>
      </w:pPr>
      <w:r>
        <w:rPr>
          <w:rFonts w:ascii="Arial" w:cs="Arial" w:eastAsia="Arial" w:hAnsi="Arial"/>
          <w:b w:val="false"/>
          <w:bCs w:val="false"/>
          <w:color w:val="1A1A1A"/>
          <w:sz w:val="22"/>
          <w:szCs w:val="22"/>
        </w:rPr>
        <w:t xml:space="preserve">Rider utilisation rate — active orders per online rider</w:t>
      </w:r>
    </w:p>
    <w:p>
      <w:pPr>
        <w:pStyle w:val="ListParagraph"/>
        <w:numPr>
          <w:ilvl w:val="0"/>
          <w:numId w:val="2"/>
        </w:numPr>
        <w:spacing w:after="40" w:before="40"/>
      </w:pPr>
      <w:r>
        <w:rPr>
          <w:rFonts w:ascii="Arial" w:cs="Arial" w:eastAsia="Arial" w:hAnsi="Arial"/>
          <w:b w:val="false"/>
          <w:bCs w:val="false"/>
          <w:color w:val="1A1A1A"/>
          <w:sz w:val="22"/>
          <w:szCs w:val="22"/>
        </w:rPr>
        <w:t xml:space="preserve">Vendor acceptance rate — accepted vs rejected orders per vendor</w:t>
      </w:r>
    </w:p>
    <w:p>
      <w:pPr>
        <w:pStyle w:val="ListParagraph"/>
        <w:numPr>
          <w:ilvl w:val="0"/>
          <w:numId w:val="2"/>
        </w:numPr>
        <w:spacing w:after="40" w:before="40"/>
      </w:pPr>
      <w:r>
        <w:rPr>
          <w:rFonts w:ascii="Arial" w:cs="Arial" w:eastAsia="Arial" w:hAnsi="Arial"/>
          <w:b w:val="false"/>
          <w:bCs w:val="false"/>
          <w:color w:val="1A1A1A"/>
          <w:sz w:val="22"/>
          <w:szCs w:val="22"/>
        </w:rPr>
        <w:t xml:space="preserve">Dispute rate — disputes as percentage of completed orders</w:t>
      </w:r>
    </w:p>
    <w:p>
      <w:pPr>
        <w:pStyle w:val="ListParagraph"/>
        <w:numPr>
          <w:ilvl w:val="0"/>
          <w:numId w:val="2"/>
        </w:numPr>
        <w:spacing w:after="40" w:before="40"/>
      </w:pPr>
      <w:r>
        <w:rPr>
          <w:rFonts w:ascii="Arial" w:cs="Arial" w:eastAsia="Arial" w:hAnsi="Arial"/>
          <w:b w:val="false"/>
          <w:bCs w:val="false"/>
          <w:color w:val="1A1A1A"/>
          <w:sz w:val="22"/>
          <w:szCs w:val="22"/>
        </w:rPr>
        <w:t xml:space="preserve">Escrow aging — orders in PAYMENT_RELEASE_PENDING beyond expected window</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11. Scaling Strategy</w:t>
            </w:r>
          </w:p>
        </w:tc>
      </w:tr>
    </w:tbl>
    <w:p>
      <w:pPr>
        <w:spacing w:after="60" w:before="60"/>
      </w:pPr>
      <w:r>
        <w:t xml:space="preserve"/>
      </w:r>
    </w:p>
    <w:p>
      <w:pPr>
        <w:pStyle w:val="Heading2"/>
        <w:spacing w:after="120" w:before="300"/>
      </w:pPr>
      <w:r>
        <w:rPr>
          <w:rFonts w:ascii="Arial" w:cs="Arial" w:eastAsia="Arial" w:hAnsi="Arial"/>
          <w:b/>
          <w:bCs/>
          <w:color w:val="1A3C8F"/>
          <w:sz w:val="28"/>
          <w:szCs w:val="28"/>
        </w:rPr>
        <w:t xml:space="preserve">MVP Phase (0–10,000 orders/month)</w:t>
      </w:r>
    </w:p>
    <w:p>
      <w:pPr>
        <w:pStyle w:val="ListParagraph"/>
        <w:numPr>
          <w:ilvl w:val="0"/>
          <w:numId w:val="2"/>
        </w:numPr>
        <w:spacing w:after="40" w:before="40"/>
      </w:pPr>
      <w:r>
        <w:rPr>
          <w:rFonts w:ascii="Arial" w:cs="Arial" w:eastAsia="Arial" w:hAnsi="Arial"/>
          <w:b w:val="false"/>
          <w:bCs w:val="false"/>
          <w:color w:val="1A1A1A"/>
          <w:sz w:val="22"/>
          <w:szCs w:val="22"/>
        </w:rPr>
        <w:t xml:space="preserve">Single-server FastAPI application with Gunicorn workers</w:t>
      </w:r>
    </w:p>
    <w:p>
      <w:pPr>
        <w:pStyle w:val="ListParagraph"/>
        <w:numPr>
          <w:ilvl w:val="0"/>
          <w:numId w:val="2"/>
        </w:numPr>
        <w:spacing w:after="40" w:before="40"/>
      </w:pPr>
      <w:r>
        <w:rPr>
          <w:rFonts w:ascii="Arial" w:cs="Arial" w:eastAsia="Arial" w:hAnsi="Arial"/>
          <w:b w:val="false"/>
          <w:bCs w:val="false"/>
          <w:color w:val="1A1A1A"/>
          <w:sz w:val="22"/>
          <w:szCs w:val="22"/>
        </w:rPr>
        <w:t xml:space="preserve">Single PostgreSQL instance with read replicas for analytics queries</w:t>
      </w:r>
    </w:p>
    <w:p>
      <w:pPr>
        <w:pStyle w:val="ListParagraph"/>
        <w:numPr>
          <w:ilvl w:val="0"/>
          <w:numId w:val="2"/>
        </w:numPr>
        <w:spacing w:after="40" w:before="40"/>
      </w:pPr>
      <w:r>
        <w:rPr>
          <w:rFonts w:ascii="Arial" w:cs="Arial" w:eastAsia="Arial" w:hAnsi="Arial"/>
          <w:b w:val="false"/>
          <w:bCs w:val="false"/>
          <w:color w:val="1A1A1A"/>
          <w:sz w:val="22"/>
          <w:szCs w:val="22"/>
        </w:rPr>
        <w:t xml:space="preserve">Redis single instance with persistence enabled</w:t>
      </w:r>
    </w:p>
    <w:p>
      <w:pPr>
        <w:pStyle w:val="ListParagraph"/>
        <w:numPr>
          <w:ilvl w:val="0"/>
          <w:numId w:val="2"/>
        </w:numPr>
        <w:spacing w:after="40" w:before="40"/>
      </w:pPr>
      <w:r>
        <w:rPr>
          <w:rFonts w:ascii="Arial" w:cs="Arial" w:eastAsia="Arial" w:hAnsi="Arial"/>
          <w:b w:val="false"/>
          <w:bCs w:val="false"/>
          <w:color w:val="1A1A1A"/>
          <w:sz w:val="22"/>
          <w:szCs w:val="22"/>
        </w:rPr>
        <w:t xml:space="preserve">Manual incident response — no automated failover</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Growth Phase (10,000–100,000 orders/month)</w:t>
      </w:r>
    </w:p>
    <w:p>
      <w:pPr>
        <w:pStyle w:val="ListParagraph"/>
        <w:numPr>
          <w:ilvl w:val="0"/>
          <w:numId w:val="2"/>
        </w:numPr>
        <w:spacing w:after="40" w:before="40"/>
      </w:pPr>
      <w:r>
        <w:rPr>
          <w:rFonts w:ascii="Arial" w:cs="Arial" w:eastAsia="Arial" w:hAnsi="Arial"/>
          <w:b w:val="false"/>
          <w:bCs w:val="false"/>
          <w:color w:val="1A1A1A"/>
          <w:sz w:val="22"/>
          <w:szCs w:val="22"/>
        </w:rPr>
        <w:t xml:space="preserve">Horizontal scaling: multiple FastAPI instances behind Nginx load balancer</w:t>
      </w:r>
    </w:p>
    <w:p>
      <w:pPr>
        <w:pStyle w:val="ListParagraph"/>
        <w:numPr>
          <w:ilvl w:val="0"/>
          <w:numId w:val="2"/>
        </w:numPr>
        <w:spacing w:after="40" w:before="40"/>
      </w:pPr>
      <w:r>
        <w:rPr>
          <w:rFonts w:ascii="Arial" w:cs="Arial" w:eastAsia="Arial" w:hAnsi="Arial"/>
          <w:b w:val="false"/>
          <w:bCs w:val="false"/>
          <w:color w:val="1A1A1A"/>
          <w:sz w:val="22"/>
          <w:szCs w:val="22"/>
        </w:rPr>
        <w:t xml:space="preserve">PostgreSQL primary-replica setup — writes to primary, reads from replica</w:t>
      </w:r>
    </w:p>
    <w:p>
      <w:pPr>
        <w:pStyle w:val="ListParagraph"/>
        <w:numPr>
          <w:ilvl w:val="0"/>
          <w:numId w:val="2"/>
        </w:numPr>
        <w:spacing w:after="40" w:before="40"/>
      </w:pPr>
      <w:r>
        <w:rPr>
          <w:rFonts w:ascii="Arial" w:cs="Arial" w:eastAsia="Arial" w:hAnsi="Arial"/>
          <w:b w:val="false"/>
          <w:bCs w:val="false"/>
          <w:color w:val="1A1A1A"/>
          <w:sz w:val="22"/>
          <w:szCs w:val="22"/>
        </w:rPr>
        <w:t xml:space="preserve">Redis Cluster for cache and pub/sub separation</w:t>
      </w:r>
    </w:p>
    <w:p>
      <w:pPr>
        <w:pStyle w:val="ListParagraph"/>
        <w:numPr>
          <w:ilvl w:val="0"/>
          <w:numId w:val="2"/>
        </w:numPr>
        <w:spacing w:after="40" w:before="40"/>
      </w:pPr>
      <w:r>
        <w:rPr>
          <w:rFonts w:ascii="Arial" w:cs="Arial" w:eastAsia="Arial" w:hAnsi="Arial"/>
          <w:b w:val="false"/>
          <w:bCs w:val="false"/>
          <w:color w:val="1A1A1A"/>
          <w:sz w:val="22"/>
          <w:szCs w:val="22"/>
        </w:rPr>
        <w:t xml:space="preserve">Celery workers scaled independently from API servers</w:t>
      </w:r>
    </w:p>
    <w:p>
      <w:pPr>
        <w:pStyle w:val="ListParagraph"/>
        <w:numPr>
          <w:ilvl w:val="0"/>
          <w:numId w:val="2"/>
        </w:numPr>
        <w:spacing w:after="40" w:before="40"/>
      </w:pPr>
      <w:r>
        <w:rPr>
          <w:rFonts w:ascii="Arial" w:cs="Arial" w:eastAsia="Arial" w:hAnsi="Arial"/>
          <w:b w:val="false"/>
          <w:bCs w:val="false"/>
          <w:color w:val="1A1A1A"/>
          <w:sz w:val="22"/>
          <w:szCs w:val="22"/>
        </w:rPr>
        <w:t xml:space="preserve">CDN for static asset delivery</w:t>
      </w:r>
    </w:p>
    <w:p>
      <w:pPr>
        <w:pStyle w:val="ListParagraph"/>
        <w:numPr>
          <w:ilvl w:val="0"/>
          <w:numId w:val="2"/>
        </w:numPr>
        <w:spacing w:after="40" w:before="40"/>
      </w:pPr>
      <w:r>
        <w:rPr>
          <w:rFonts w:ascii="Arial" w:cs="Arial" w:eastAsia="Arial" w:hAnsi="Arial"/>
          <w:b w:val="false"/>
          <w:bCs w:val="false"/>
          <w:color w:val="1A1A1A"/>
          <w:sz w:val="22"/>
          <w:szCs w:val="22"/>
        </w:rPr>
        <w:t xml:space="preserve">Begin extracting high-traffic services (Tracking, Notification) into separate processes</w:t>
      </w:r>
    </w:p>
    <w:p>
      <w:pPr>
        <w:spacing w:after="60" w:before="60"/>
      </w:pPr>
      <w:r>
        <w:t xml:space="preserve"/>
      </w:r>
    </w:p>
    <w:p>
      <w:pPr>
        <w:pStyle w:val="Heading2"/>
        <w:spacing w:after="120" w:before="300"/>
      </w:pPr>
      <w:r>
        <w:rPr>
          <w:rFonts w:ascii="Arial" w:cs="Arial" w:eastAsia="Arial" w:hAnsi="Arial"/>
          <w:b/>
          <w:bCs/>
          <w:color w:val="1A3C8F"/>
          <w:sz w:val="28"/>
          <w:szCs w:val="28"/>
        </w:rPr>
        <w:t xml:space="preserve">Scale Phase (100,000+ orders/month)</w:t>
      </w:r>
    </w:p>
    <w:p>
      <w:pPr>
        <w:pStyle w:val="ListParagraph"/>
        <w:numPr>
          <w:ilvl w:val="0"/>
          <w:numId w:val="2"/>
        </w:numPr>
        <w:spacing w:after="40" w:before="40"/>
      </w:pPr>
      <w:r>
        <w:rPr>
          <w:rFonts w:ascii="Arial" w:cs="Arial" w:eastAsia="Arial" w:hAnsi="Arial"/>
          <w:b w:val="false"/>
          <w:bCs w:val="false"/>
          <w:color w:val="1A1A1A"/>
          <w:sz w:val="22"/>
          <w:szCs w:val="22"/>
        </w:rPr>
        <w:t xml:space="preserve">Full microservice extraction guided by service boundary map in Section 4</w:t>
      </w:r>
    </w:p>
    <w:p>
      <w:pPr>
        <w:pStyle w:val="ListParagraph"/>
        <w:numPr>
          <w:ilvl w:val="0"/>
          <w:numId w:val="2"/>
        </w:numPr>
        <w:spacing w:after="40" w:before="40"/>
      </w:pPr>
      <w:r>
        <w:rPr>
          <w:rFonts w:ascii="Arial" w:cs="Arial" w:eastAsia="Arial" w:hAnsi="Arial"/>
          <w:b w:val="false"/>
          <w:bCs w:val="false"/>
          <w:color w:val="1A1A1A"/>
          <w:sz w:val="22"/>
          <w:szCs w:val="22"/>
        </w:rPr>
        <w:t xml:space="preserve">Message queue (RabbitMQ or Kafka) for inter-service event streaming</w:t>
      </w:r>
    </w:p>
    <w:p>
      <w:pPr>
        <w:pStyle w:val="ListParagraph"/>
        <w:numPr>
          <w:ilvl w:val="0"/>
          <w:numId w:val="2"/>
        </w:numPr>
        <w:spacing w:after="40" w:before="40"/>
      </w:pPr>
      <w:r>
        <w:rPr>
          <w:rFonts w:ascii="Arial" w:cs="Arial" w:eastAsia="Arial" w:hAnsi="Arial"/>
          <w:b w:val="false"/>
          <w:bCs w:val="false"/>
          <w:color w:val="1A1A1A"/>
          <w:sz w:val="22"/>
          <w:szCs w:val="22"/>
        </w:rPr>
        <w:t xml:space="preserve">Database per service where domains are fully isolated</w:t>
      </w:r>
    </w:p>
    <w:p>
      <w:pPr>
        <w:pStyle w:val="ListParagraph"/>
        <w:numPr>
          <w:ilvl w:val="0"/>
          <w:numId w:val="2"/>
        </w:numPr>
        <w:spacing w:after="40" w:before="40"/>
      </w:pPr>
      <w:r>
        <w:rPr>
          <w:rFonts w:ascii="Arial" w:cs="Arial" w:eastAsia="Arial" w:hAnsi="Arial"/>
          <w:b w:val="false"/>
          <w:bCs w:val="false"/>
          <w:color w:val="1A1A1A"/>
          <w:sz w:val="22"/>
          <w:szCs w:val="22"/>
        </w:rPr>
        <w:t xml:space="preserve">Kubernetes orchestration for container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Dedicated data warehouse for analytics — decoupled from operational DB</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12. Technology Stack Summary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c>
          <w:tcPr>
            <w:tcW w:type="dxa" w:w="22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server, business logic, WebSocket handling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PostgreSQL 15+</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Primary data store, relational data, audit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cache, pub/sub, Celery broker, rate limiting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Task Queue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Celery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Background jobs, payment release, notifications, cleanup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Reverse Proxy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Nginx</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 termination, load balancing, static files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JWT (PyJWT)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Stateless auth, role-based access, token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SQLAlchemy + Alembic</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access layer, schema migrations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Validation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Pydantic v2</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Request/response schema validation, type safety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WebSockets (FastAPI native)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tracking, order updates, admin alerts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OS / Server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Ubuntu 22.04 LTS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Self-hosted VPS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 / CSS / JavaScript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five frontend applications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Documentation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Swagger UI (auto)</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 and team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 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Supervisor / systemd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lifecycle on Ubuntu</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 Prometheus + Grafana</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Metrics, alerting, dashboards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8F" w:val="clear"/>
            <w:tcMar>
              <w:top w:type="dxa" w:w="120"/>
              <w:left w:type="dxa" w:w="200"/>
              <w:bottom w:type="dxa" w:w="120"/>
              <w:right w:type="dxa" w:w="200"/>
            </w:tcMar>
          </w:tcPr>
          <w:p>
            <w:pPr>
              <w:jc w:val="left"/>
            </w:pPr>
            <w:r>
              <w:rPr>
                <w:rFonts w:ascii="Arial" w:cs="Arial" w:eastAsia="Arial" w:hAnsi="Arial"/>
                <w:b/>
                <w:bCs/>
                <w:color w:val="FFFFFF"/>
                <w:sz w:val="32"/>
                <w:szCs w:val="32"/>
              </w:rPr>
              <w:t xml:space="preserve">Appendix: Document Control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A3C8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AVDAN System Architecture Document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Confidential — Internal Use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development kickoff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Related Documents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Lifecycle Document, Database Design, RBAC Matrix, PRD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9" w:val="clear"/>
            <w:tcMar>
              <w:top w:type="dxa" w:w="120"/>
              <w:left w:type="dxa" w:w="200"/>
              <w:bottom w:type="dxa" w:w="120"/>
              <w:right w:type="dxa" w:w="200"/>
            </w:tcMar>
          </w:tcPr>
          <w:p>
            <w:r>
              <w:rPr>
                <w:rFonts w:ascii="Arial" w:cs="Arial" w:eastAsia="Arial" w:hAnsi="Arial"/>
                <w:i/>
                <w:iCs/>
                <w:color w:val="1A3C8F"/>
                <w:sz w:val="22"/>
                <w:szCs w:val="22"/>
              </w:rPr>
              <w:t xml:space="preserve">This document defines the architectural baseline for AVDAN. All engineering decisions should reference this document. Changes to architecture must be reflected here before implementation begins.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8F" w:sz="4" w:space="1"/>
      </w:pBdr>
      <w:tabs>
        <w:tab w:val="right" w:pos="9026"/>
      </w:tabs>
    </w:pPr>
    <w:r>
      <w:rPr>
        <w:rFonts w:ascii="Arial" w:cs="Arial" w:eastAsia="Arial" w:hAnsi="Arial"/>
        <w:color w:val="999999"/>
        <w:sz w:val="18"/>
        <w:szCs w:val="18"/>
      </w:rPr>
      <w:t xml:space="preserve">Confidential — Internal Use Only</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8F" w:sz="4" w:space="1"/>
      </w:pBdr>
      <w:tabs>
        <w:tab w:val="right" w:pos="9026"/>
      </w:tabs>
    </w:pPr>
    <w:r>
      <w:rPr>
        <w:rFonts w:ascii="Arial" w:cs="Arial" w:eastAsia="Arial" w:hAnsi="Arial"/>
        <w:b/>
        <w:bCs/>
        <w:color w:val="1A3C8F"/>
        <w:sz w:val="20"/>
        <w:szCs w:val="20"/>
      </w:rPr>
      <w:t xml:space="preserve">AVDAN</w:t>
    </w:r>
    <w:r>
      <w:rPr>
        <w:rFonts w:ascii="Arial" w:cs="Arial" w:eastAsia="Arial" w:hAnsi="Arial"/>
        <w:color w:val="666666"/>
        <w:sz w:val="18"/>
        <w:szCs w:val="18"/>
      </w:rPr>
      <w:t xml:space="preserve">	System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8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3C8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5282"/>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2026-05-29T23:49:51.986Z</dcterms:created>
  <dcterms:modified xsi:type="dcterms:W3CDTF">2026-05-29T23:49:51.998Z</dcterms:modified>
</cp:coreProperties>
</file>

<file path=docProps/custom.xml><?xml version="1.0" encoding="utf-8"?>
<Properties xmlns="http://schemas.openxmlformats.org/officeDocument/2006/custom-properties" xmlns:vt="http://schemas.openxmlformats.org/officeDocument/2006/docPropsVTypes"/>
</file>