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8A383" w14:textId="77777777" w:rsidR="00706211" w:rsidRPr="007263CC" w:rsidRDefault="00101608" w:rsidP="00E43DBA">
      <w:pPr>
        <w:pStyle w:val="Title"/>
        <w:jc w:val="center"/>
        <w:rPr>
          <w:sz w:val="44"/>
          <w:szCs w:val="44"/>
        </w:rPr>
      </w:pPr>
      <w:r w:rsidRPr="007263CC">
        <w:rPr>
          <w:sz w:val="44"/>
          <w:szCs w:val="44"/>
        </w:rPr>
        <w:t>Canada RTEI Profile</w:t>
      </w:r>
    </w:p>
    <w:p w14:paraId="02B2C6F3" w14:textId="77777777" w:rsidR="00B04DD4" w:rsidRPr="007263CC" w:rsidRDefault="00B04DD4" w:rsidP="00B04DD4">
      <w:pPr>
        <w:pStyle w:val="Heading1"/>
        <w:rPr>
          <w:sz w:val="28"/>
          <w:szCs w:val="28"/>
        </w:rPr>
      </w:pPr>
      <w:r w:rsidRPr="007263CC">
        <w:rPr>
          <w:sz w:val="28"/>
          <w:szCs w:val="28"/>
        </w:rPr>
        <w:t>Canada RTEI Results</w:t>
      </w:r>
    </w:p>
    <w:p w14:paraId="1F871B0A" w14:textId="77777777" w:rsidR="00B04DD4" w:rsidRDefault="00B04DD4" w:rsidP="00B04DD4">
      <w:r>
        <w:t>T</w:t>
      </w:r>
      <w:r w:rsidRPr="00ED68F0">
        <w:t>he RTEI Questionnai</w:t>
      </w:r>
      <w:r>
        <w:t xml:space="preserve">re investigated education policies and education outcomes in Canada. Given that the Canadian education system is decentralized and managed by each province and territory, some questions were difficult to answer or there was not enough data to provide a response representative at a national level. </w:t>
      </w:r>
    </w:p>
    <w:p w14:paraId="1D252268" w14:textId="77777777" w:rsidR="00B04DD4" w:rsidRDefault="00B04DD4" w:rsidP="00B04DD4">
      <w:r>
        <w:t xml:space="preserve">Canada’s overall index score was 84, in a rating system from 0 to 100 with 100 being the ideal. The survey was broken into five themes – Governance, Availability, Accessibility, Acceptability and Adaptability – which were scored based on the results of their subthemes. The individual scores are seen in the table above. </w:t>
      </w:r>
    </w:p>
    <w:p w14:paraId="4A595DA8" w14:textId="34A5BD1C" w:rsidR="007F5D93" w:rsidRPr="007F5D93" w:rsidRDefault="00B04DD4" w:rsidP="00B04DD4">
      <w:pPr>
        <w:spacing w:before="240"/>
        <w:rPr>
          <w:rFonts w:ascii="Helvetica" w:hAnsi="Helvetica" w:cs="Helvetica"/>
          <w:sz w:val="24"/>
        </w:rPr>
      </w:pPr>
      <w:r w:rsidRPr="007F5D93">
        <w:rPr>
          <w:rFonts w:ascii="Helvetica" w:eastAsia="Calibri" w:hAnsi="Helvetica" w:cs="Helvetica"/>
          <w:color w:val="AF1F2C"/>
          <w:sz w:val="24"/>
        </w:rPr>
        <w:t xml:space="preserve"> </w:t>
      </w:r>
      <w:r w:rsidR="007F5D93" w:rsidRPr="007F5D93">
        <w:rPr>
          <w:rFonts w:ascii="Helvetica" w:eastAsia="Calibri" w:hAnsi="Helvetica" w:cs="Helvetica"/>
          <w:color w:val="AF1F2C"/>
          <w:sz w:val="24"/>
        </w:rPr>
        <w:t>Canada</w:t>
      </w:r>
      <w:r w:rsidR="007F5D93" w:rsidRPr="007F5D93">
        <w:rPr>
          <w:rFonts w:ascii="Helvetica" w:eastAsia="Calibri" w:hAnsi="Helvetica" w:cs="Helvetica"/>
          <w:color w:val="B01F2E"/>
          <w:sz w:val="24"/>
        </w:rPr>
        <w:t xml:space="preserve"> </w:t>
      </w:r>
      <w:r w:rsidR="007F5D93" w:rsidRPr="007F5D93">
        <w:rPr>
          <w:rFonts w:ascii="Helvetica" w:hAnsi="Helvetica" w:cs="Helvetica"/>
          <w:sz w:val="24"/>
        </w:rPr>
        <w:t>Index Score – 8</w:t>
      </w:r>
      <w:r>
        <w:rPr>
          <w:rFonts w:ascii="Helvetica" w:hAnsi="Helvetica" w:cs="Helvetica"/>
          <w:sz w:val="24"/>
        </w:rPr>
        <w:t>4</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810"/>
        <w:gridCol w:w="2339"/>
        <w:gridCol w:w="1079"/>
        <w:gridCol w:w="990"/>
        <w:gridCol w:w="270"/>
        <w:gridCol w:w="3512"/>
        <w:gridCol w:w="810"/>
      </w:tblGrid>
      <w:tr w:rsidR="007F5D93" w:rsidRPr="007F5D93" w14:paraId="23473C24" w14:textId="77777777" w:rsidTr="00B04DD4">
        <w:trPr>
          <w:trHeight w:val="20"/>
        </w:trPr>
        <w:tc>
          <w:tcPr>
            <w:tcW w:w="810" w:type="dxa"/>
            <w:vMerge w:val="restart"/>
            <w:shd w:val="clear" w:color="auto" w:fill="AF1F2C"/>
            <w:textDirection w:val="btLr"/>
            <w:vAlign w:val="center"/>
          </w:tcPr>
          <w:p w14:paraId="616AE440" w14:textId="77777777" w:rsidR="007F5D93" w:rsidRPr="007F5D93" w:rsidRDefault="007F5D93" w:rsidP="00B4587A">
            <w:pPr>
              <w:pStyle w:val="NoSpacing"/>
              <w:ind w:left="113" w:right="113"/>
              <w:jc w:val="center"/>
              <w:rPr>
                <w:rFonts w:ascii="Helvetica" w:hAnsi="Helvetica" w:cs="Helvetica"/>
                <w:b/>
                <w:color w:val="FFFFFF" w:themeColor="background1"/>
                <w:sz w:val="16"/>
              </w:rPr>
            </w:pPr>
            <w:r w:rsidRPr="007F5D93">
              <w:rPr>
                <w:rFonts w:ascii="Helvetica" w:hAnsi="Helvetica" w:cs="Helvetica"/>
                <w:b/>
                <w:color w:val="FFFFFF" w:themeColor="background1"/>
                <w:sz w:val="16"/>
              </w:rPr>
              <w:t>Themes and Subthemes</w:t>
            </w:r>
          </w:p>
          <w:p w14:paraId="5CC34C81"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D9D9D9" w:themeFill="background1" w:themeFillShade="D9"/>
          </w:tcPr>
          <w:p w14:paraId="4B5AE839"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Governance</w:t>
            </w:r>
          </w:p>
        </w:tc>
        <w:tc>
          <w:tcPr>
            <w:tcW w:w="990" w:type="dxa"/>
            <w:shd w:val="clear" w:color="auto" w:fill="D9D9D9" w:themeFill="background1" w:themeFillShade="D9"/>
          </w:tcPr>
          <w:p w14:paraId="798BBA1B" w14:textId="77777777" w:rsidR="007F5D93" w:rsidRPr="007F5D93" w:rsidRDefault="007F5D93" w:rsidP="00B4587A">
            <w:pPr>
              <w:pStyle w:val="NoSpacing"/>
              <w:rPr>
                <w:rFonts w:ascii="Helvetica" w:hAnsi="Helvetica" w:cs="Helvetica"/>
                <w:sz w:val="16"/>
              </w:rPr>
            </w:pPr>
            <w:r w:rsidRPr="007F5D93">
              <w:rPr>
                <w:rFonts w:ascii="Helvetica" w:hAnsi="Helvetica" w:cs="Helvetica"/>
                <w:b/>
                <w:sz w:val="16"/>
              </w:rPr>
              <w:t>76</w:t>
            </w:r>
          </w:p>
        </w:tc>
        <w:tc>
          <w:tcPr>
            <w:tcW w:w="270" w:type="dxa"/>
            <w:shd w:val="clear" w:color="auto" w:fill="auto"/>
            <w:vAlign w:val="center"/>
          </w:tcPr>
          <w:p w14:paraId="006F9121" w14:textId="77777777" w:rsidR="007F5D93" w:rsidRPr="007F5D93" w:rsidRDefault="007F5D93" w:rsidP="00B4587A">
            <w:pPr>
              <w:pStyle w:val="NoSpacing"/>
              <w:rPr>
                <w:rFonts w:ascii="Helvetica" w:hAnsi="Helvetica" w:cs="Helvetica"/>
                <w:sz w:val="16"/>
              </w:rPr>
            </w:pPr>
          </w:p>
        </w:tc>
        <w:tc>
          <w:tcPr>
            <w:tcW w:w="3512" w:type="dxa"/>
            <w:shd w:val="clear" w:color="auto" w:fill="D9D9D9" w:themeFill="background1" w:themeFillShade="D9"/>
            <w:vAlign w:val="center"/>
          </w:tcPr>
          <w:p w14:paraId="531F4114"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Accessibility</w:t>
            </w:r>
          </w:p>
        </w:tc>
        <w:tc>
          <w:tcPr>
            <w:tcW w:w="810" w:type="dxa"/>
            <w:shd w:val="clear" w:color="auto" w:fill="D9D9D9" w:themeFill="background1" w:themeFillShade="D9"/>
          </w:tcPr>
          <w:p w14:paraId="71108EE8"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82</w:t>
            </w:r>
          </w:p>
        </w:tc>
      </w:tr>
      <w:tr w:rsidR="007F5D93" w:rsidRPr="007F5D93" w14:paraId="21557AC5" w14:textId="77777777" w:rsidTr="00B04DD4">
        <w:trPr>
          <w:trHeight w:val="20"/>
        </w:trPr>
        <w:tc>
          <w:tcPr>
            <w:tcW w:w="810" w:type="dxa"/>
            <w:vMerge/>
            <w:shd w:val="clear" w:color="auto" w:fill="AF1F2C"/>
            <w:textDirection w:val="btLr"/>
            <w:vAlign w:val="center"/>
          </w:tcPr>
          <w:p w14:paraId="7EDAED3E"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tcPr>
          <w:p w14:paraId="2FCC5E42" w14:textId="77777777" w:rsidR="007F5D93" w:rsidRPr="007F5D93" w:rsidRDefault="007F5D93" w:rsidP="00B4587A">
            <w:pPr>
              <w:pStyle w:val="NoSpacing"/>
              <w:rPr>
                <w:rFonts w:ascii="Helvetica" w:hAnsi="Helvetica" w:cs="Helvetica"/>
                <w:b/>
                <w:sz w:val="16"/>
              </w:rPr>
            </w:pPr>
            <w:r w:rsidRPr="007F5D93">
              <w:rPr>
                <w:rFonts w:ascii="Helvetica" w:hAnsi="Helvetica" w:cs="Helvetica"/>
                <w:sz w:val="16"/>
              </w:rPr>
              <w:t>International Framework</w:t>
            </w:r>
          </w:p>
        </w:tc>
        <w:tc>
          <w:tcPr>
            <w:tcW w:w="990" w:type="dxa"/>
            <w:shd w:val="clear" w:color="auto" w:fill="E7E6E6" w:themeFill="background2"/>
          </w:tcPr>
          <w:p w14:paraId="4E48D1D5"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61</w:t>
            </w:r>
          </w:p>
        </w:tc>
        <w:tc>
          <w:tcPr>
            <w:tcW w:w="270" w:type="dxa"/>
            <w:shd w:val="clear" w:color="auto" w:fill="auto"/>
            <w:vAlign w:val="center"/>
          </w:tcPr>
          <w:p w14:paraId="5AA6B9A2"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492C7336"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Free Education</w:t>
            </w:r>
          </w:p>
        </w:tc>
        <w:tc>
          <w:tcPr>
            <w:tcW w:w="810" w:type="dxa"/>
            <w:shd w:val="clear" w:color="auto" w:fill="E7E6E6" w:themeFill="background2"/>
          </w:tcPr>
          <w:p w14:paraId="494CC605" w14:textId="77777777" w:rsidR="007F5D93" w:rsidRPr="007F5D93" w:rsidRDefault="007F5D93" w:rsidP="00B4587A">
            <w:pPr>
              <w:pStyle w:val="NoSpacing"/>
              <w:jc w:val="right"/>
              <w:rPr>
                <w:rFonts w:ascii="Helvetica" w:hAnsi="Helvetica" w:cs="Helvetica"/>
                <w:sz w:val="16"/>
              </w:rPr>
            </w:pPr>
            <w:r w:rsidRPr="007F5D93">
              <w:rPr>
                <w:rFonts w:ascii="Helvetica" w:hAnsi="Helvetica" w:cs="Helvetica"/>
                <w:sz w:val="16"/>
              </w:rPr>
              <w:t>83</w:t>
            </w:r>
          </w:p>
        </w:tc>
      </w:tr>
      <w:tr w:rsidR="007F5D93" w:rsidRPr="007F5D93" w14:paraId="4848F76A" w14:textId="77777777" w:rsidTr="00B04DD4">
        <w:trPr>
          <w:trHeight w:val="20"/>
        </w:trPr>
        <w:tc>
          <w:tcPr>
            <w:tcW w:w="810" w:type="dxa"/>
            <w:vMerge/>
            <w:shd w:val="clear" w:color="auto" w:fill="AF1F2C"/>
            <w:textDirection w:val="btLr"/>
            <w:vAlign w:val="center"/>
          </w:tcPr>
          <w:p w14:paraId="67539FF2"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tcPr>
          <w:p w14:paraId="0E2BF297" w14:textId="77777777" w:rsidR="007F5D93" w:rsidRPr="007F5D93" w:rsidRDefault="007F5D93" w:rsidP="00B4587A">
            <w:pPr>
              <w:pStyle w:val="NoSpacing"/>
              <w:rPr>
                <w:rFonts w:ascii="Helvetica" w:hAnsi="Helvetica" w:cs="Helvetica"/>
                <w:b/>
                <w:sz w:val="16"/>
              </w:rPr>
            </w:pPr>
            <w:r w:rsidRPr="007F5D93">
              <w:rPr>
                <w:rFonts w:ascii="Helvetica" w:hAnsi="Helvetica" w:cs="Helvetica"/>
                <w:sz w:val="16"/>
              </w:rPr>
              <w:t>Domestic Law</w:t>
            </w:r>
          </w:p>
        </w:tc>
        <w:tc>
          <w:tcPr>
            <w:tcW w:w="990" w:type="dxa"/>
            <w:shd w:val="clear" w:color="auto" w:fill="E7E6E6" w:themeFill="background2"/>
          </w:tcPr>
          <w:p w14:paraId="47063F01"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71</w:t>
            </w:r>
          </w:p>
        </w:tc>
        <w:tc>
          <w:tcPr>
            <w:tcW w:w="270" w:type="dxa"/>
            <w:shd w:val="clear" w:color="auto" w:fill="auto"/>
            <w:vAlign w:val="center"/>
          </w:tcPr>
          <w:p w14:paraId="55ABF363"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40A4F7A1"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Discrimination</w:t>
            </w:r>
          </w:p>
        </w:tc>
        <w:tc>
          <w:tcPr>
            <w:tcW w:w="810" w:type="dxa"/>
            <w:shd w:val="clear" w:color="auto" w:fill="E7E6E6" w:themeFill="background2"/>
          </w:tcPr>
          <w:p w14:paraId="13BCAD17" w14:textId="77777777" w:rsidR="007F5D93" w:rsidRPr="007F5D93" w:rsidRDefault="007F5D93" w:rsidP="00B4587A">
            <w:pPr>
              <w:pStyle w:val="NoSpacing"/>
              <w:jc w:val="right"/>
              <w:rPr>
                <w:rFonts w:ascii="Helvetica" w:hAnsi="Helvetica" w:cs="Helvetica"/>
                <w:sz w:val="16"/>
              </w:rPr>
            </w:pPr>
            <w:r w:rsidRPr="007F5D93">
              <w:rPr>
                <w:rFonts w:ascii="Helvetica" w:hAnsi="Helvetica" w:cs="Helvetica"/>
                <w:sz w:val="16"/>
              </w:rPr>
              <w:t>79</w:t>
            </w:r>
          </w:p>
        </w:tc>
      </w:tr>
      <w:tr w:rsidR="007F5D93" w:rsidRPr="007F5D93" w14:paraId="4F00F07E" w14:textId="77777777" w:rsidTr="00B04DD4">
        <w:trPr>
          <w:trHeight w:val="20"/>
        </w:trPr>
        <w:tc>
          <w:tcPr>
            <w:tcW w:w="810" w:type="dxa"/>
            <w:vMerge/>
            <w:shd w:val="clear" w:color="auto" w:fill="AF1F2C"/>
            <w:textDirection w:val="btLr"/>
            <w:vAlign w:val="center"/>
          </w:tcPr>
          <w:p w14:paraId="32486FDB"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tcPr>
          <w:p w14:paraId="1FF7EFF0" w14:textId="77777777" w:rsidR="007F5D93" w:rsidRPr="007F5D93" w:rsidRDefault="007F5D93" w:rsidP="00B4587A">
            <w:pPr>
              <w:pStyle w:val="NoSpacing"/>
              <w:rPr>
                <w:rFonts w:ascii="Helvetica" w:hAnsi="Helvetica" w:cs="Helvetica"/>
                <w:b/>
                <w:sz w:val="16"/>
              </w:rPr>
            </w:pPr>
            <w:r w:rsidRPr="007F5D93">
              <w:rPr>
                <w:rFonts w:ascii="Helvetica" w:hAnsi="Helvetica" w:cs="Helvetica"/>
                <w:sz w:val="16"/>
              </w:rPr>
              <w:t>Plan of Action</w:t>
            </w:r>
          </w:p>
        </w:tc>
        <w:tc>
          <w:tcPr>
            <w:tcW w:w="990" w:type="dxa"/>
            <w:shd w:val="clear" w:color="auto" w:fill="E7E6E6" w:themeFill="background2"/>
          </w:tcPr>
          <w:p w14:paraId="05BC99B1"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100</w:t>
            </w:r>
          </w:p>
        </w:tc>
        <w:tc>
          <w:tcPr>
            <w:tcW w:w="270" w:type="dxa"/>
            <w:shd w:val="clear" w:color="auto" w:fill="auto"/>
            <w:vAlign w:val="center"/>
          </w:tcPr>
          <w:p w14:paraId="2F60C410"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2E4E6C76"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Participation</w:t>
            </w:r>
          </w:p>
        </w:tc>
        <w:tc>
          <w:tcPr>
            <w:tcW w:w="810" w:type="dxa"/>
            <w:shd w:val="clear" w:color="auto" w:fill="E7E6E6" w:themeFill="background2"/>
          </w:tcPr>
          <w:p w14:paraId="11A3ABC2" w14:textId="77777777" w:rsidR="007F5D93" w:rsidRPr="007F5D93" w:rsidRDefault="007F5D93" w:rsidP="00B4587A">
            <w:pPr>
              <w:pStyle w:val="NoSpacing"/>
              <w:jc w:val="right"/>
              <w:rPr>
                <w:rFonts w:ascii="Helvetica" w:hAnsi="Helvetica" w:cs="Helvetica"/>
                <w:sz w:val="16"/>
              </w:rPr>
            </w:pPr>
            <w:r w:rsidRPr="007F5D93">
              <w:rPr>
                <w:rFonts w:ascii="Helvetica" w:hAnsi="Helvetica" w:cs="Helvetica"/>
                <w:sz w:val="16"/>
              </w:rPr>
              <w:t>83</w:t>
            </w:r>
          </w:p>
        </w:tc>
      </w:tr>
      <w:tr w:rsidR="007F5D93" w:rsidRPr="007F5D93" w14:paraId="5B0B2EE4" w14:textId="77777777" w:rsidTr="00B04DD4">
        <w:trPr>
          <w:trHeight w:val="20"/>
        </w:trPr>
        <w:tc>
          <w:tcPr>
            <w:tcW w:w="810" w:type="dxa"/>
            <w:vMerge/>
            <w:shd w:val="clear" w:color="auto" w:fill="AF1F2C"/>
            <w:textDirection w:val="btLr"/>
            <w:vAlign w:val="center"/>
          </w:tcPr>
          <w:p w14:paraId="7216E265"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tcPr>
          <w:p w14:paraId="72F8279C" w14:textId="77777777" w:rsidR="007F5D93" w:rsidRPr="007F5D93" w:rsidRDefault="007F5D93" w:rsidP="00B4587A">
            <w:pPr>
              <w:pStyle w:val="NoSpacing"/>
              <w:rPr>
                <w:rFonts w:ascii="Helvetica" w:hAnsi="Helvetica" w:cs="Helvetica"/>
                <w:b/>
                <w:sz w:val="16"/>
              </w:rPr>
            </w:pPr>
            <w:r w:rsidRPr="007F5D93">
              <w:rPr>
                <w:rFonts w:ascii="Helvetica" w:hAnsi="Helvetica" w:cs="Helvetica"/>
                <w:sz w:val="16"/>
              </w:rPr>
              <w:t>Monitoring and Reporting</w:t>
            </w:r>
          </w:p>
        </w:tc>
        <w:tc>
          <w:tcPr>
            <w:tcW w:w="990" w:type="dxa"/>
            <w:shd w:val="clear" w:color="auto" w:fill="E7E6E6" w:themeFill="background2"/>
          </w:tcPr>
          <w:p w14:paraId="351493AB"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75</w:t>
            </w:r>
          </w:p>
        </w:tc>
        <w:tc>
          <w:tcPr>
            <w:tcW w:w="270" w:type="dxa"/>
            <w:shd w:val="clear" w:color="auto" w:fill="auto"/>
            <w:vAlign w:val="center"/>
          </w:tcPr>
          <w:p w14:paraId="7171D4AB" w14:textId="77777777" w:rsidR="007F5D93" w:rsidRPr="007F5D93" w:rsidRDefault="007F5D93" w:rsidP="00B4587A">
            <w:pPr>
              <w:pStyle w:val="NoSpacing"/>
              <w:rPr>
                <w:rFonts w:ascii="Helvetica" w:hAnsi="Helvetica" w:cs="Helvetica"/>
                <w:sz w:val="16"/>
              </w:rPr>
            </w:pPr>
          </w:p>
        </w:tc>
        <w:tc>
          <w:tcPr>
            <w:tcW w:w="3512" w:type="dxa"/>
            <w:shd w:val="clear" w:color="auto" w:fill="D9D9D9" w:themeFill="background1" w:themeFillShade="D9"/>
            <w:vAlign w:val="center"/>
          </w:tcPr>
          <w:p w14:paraId="36F8A440"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Acceptability</w:t>
            </w:r>
          </w:p>
        </w:tc>
        <w:tc>
          <w:tcPr>
            <w:tcW w:w="810" w:type="dxa"/>
            <w:shd w:val="clear" w:color="auto" w:fill="D9D9D9" w:themeFill="background1" w:themeFillShade="D9"/>
          </w:tcPr>
          <w:p w14:paraId="7BC1F61A" w14:textId="244E8593" w:rsidR="007F5D93" w:rsidRPr="007F5D93" w:rsidRDefault="00B04DD4" w:rsidP="00B4587A">
            <w:pPr>
              <w:pStyle w:val="NoSpacing"/>
              <w:jc w:val="right"/>
              <w:rPr>
                <w:rFonts w:ascii="Helvetica" w:hAnsi="Helvetica" w:cs="Helvetica"/>
                <w:b/>
                <w:sz w:val="16"/>
              </w:rPr>
            </w:pPr>
            <w:r>
              <w:rPr>
                <w:rFonts w:ascii="Helvetica" w:hAnsi="Helvetica" w:cs="Helvetica"/>
                <w:b/>
                <w:sz w:val="16"/>
              </w:rPr>
              <w:t>82</w:t>
            </w:r>
          </w:p>
        </w:tc>
      </w:tr>
      <w:tr w:rsidR="007F5D93" w:rsidRPr="007F5D93" w14:paraId="72F058A1" w14:textId="77777777" w:rsidTr="00B04DD4">
        <w:trPr>
          <w:trHeight w:val="20"/>
        </w:trPr>
        <w:tc>
          <w:tcPr>
            <w:tcW w:w="810" w:type="dxa"/>
            <w:vMerge/>
            <w:shd w:val="clear" w:color="auto" w:fill="AF1F2C"/>
            <w:textDirection w:val="btLr"/>
            <w:vAlign w:val="center"/>
          </w:tcPr>
          <w:p w14:paraId="5712CCF3"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tcPr>
          <w:p w14:paraId="074D643E" w14:textId="77777777" w:rsidR="007F5D93" w:rsidRPr="007F5D93" w:rsidRDefault="007F5D93" w:rsidP="00B4587A">
            <w:pPr>
              <w:pStyle w:val="NoSpacing"/>
              <w:rPr>
                <w:rFonts w:ascii="Helvetica" w:hAnsi="Helvetica" w:cs="Helvetica"/>
                <w:b/>
                <w:sz w:val="16"/>
              </w:rPr>
            </w:pPr>
            <w:r w:rsidRPr="007F5D93">
              <w:rPr>
                <w:rFonts w:ascii="Helvetica" w:hAnsi="Helvetica" w:cs="Helvetica"/>
                <w:sz w:val="16"/>
              </w:rPr>
              <w:t>Financing</w:t>
            </w:r>
          </w:p>
        </w:tc>
        <w:tc>
          <w:tcPr>
            <w:tcW w:w="990" w:type="dxa"/>
            <w:shd w:val="clear" w:color="auto" w:fill="E7E6E6" w:themeFill="background2"/>
          </w:tcPr>
          <w:p w14:paraId="3F0B4975" w14:textId="1D1883DA" w:rsidR="007F5D93" w:rsidRPr="007F5D93" w:rsidRDefault="00B04DD4" w:rsidP="00B4587A">
            <w:pPr>
              <w:pStyle w:val="NoSpacing"/>
              <w:rPr>
                <w:rFonts w:ascii="Helvetica" w:hAnsi="Helvetica" w:cs="Helvetica"/>
                <w:sz w:val="16"/>
              </w:rPr>
            </w:pPr>
            <w:r>
              <w:rPr>
                <w:rFonts w:ascii="Helvetica" w:hAnsi="Helvetica" w:cs="Helvetica"/>
                <w:sz w:val="16"/>
              </w:rPr>
              <w:t>72</w:t>
            </w:r>
          </w:p>
        </w:tc>
        <w:tc>
          <w:tcPr>
            <w:tcW w:w="270" w:type="dxa"/>
            <w:shd w:val="clear" w:color="auto" w:fill="auto"/>
            <w:vAlign w:val="center"/>
          </w:tcPr>
          <w:p w14:paraId="2F0DEA6B"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43E6C757"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Aims of Education</w:t>
            </w:r>
          </w:p>
        </w:tc>
        <w:tc>
          <w:tcPr>
            <w:tcW w:w="810" w:type="dxa"/>
            <w:shd w:val="clear" w:color="auto" w:fill="E7E6E6" w:themeFill="background2"/>
          </w:tcPr>
          <w:p w14:paraId="077A1E7D" w14:textId="77777777" w:rsidR="007F5D93" w:rsidRPr="007F5D93" w:rsidRDefault="007F5D93" w:rsidP="00B4587A">
            <w:pPr>
              <w:pStyle w:val="NoSpacing"/>
              <w:jc w:val="right"/>
              <w:rPr>
                <w:rFonts w:ascii="Helvetica" w:hAnsi="Helvetica" w:cs="Helvetica"/>
                <w:sz w:val="16"/>
              </w:rPr>
            </w:pPr>
            <w:r w:rsidRPr="007F5D93">
              <w:rPr>
                <w:rFonts w:ascii="Helvetica" w:hAnsi="Helvetica" w:cs="Helvetica"/>
                <w:sz w:val="16"/>
              </w:rPr>
              <w:t>95</w:t>
            </w:r>
          </w:p>
        </w:tc>
      </w:tr>
      <w:tr w:rsidR="007F5D93" w:rsidRPr="007F5D93" w14:paraId="6768F72E" w14:textId="77777777" w:rsidTr="00B04DD4">
        <w:trPr>
          <w:trHeight w:val="20"/>
        </w:trPr>
        <w:tc>
          <w:tcPr>
            <w:tcW w:w="810" w:type="dxa"/>
            <w:vMerge/>
            <w:shd w:val="clear" w:color="auto" w:fill="AF1F2C"/>
            <w:textDirection w:val="btLr"/>
            <w:vAlign w:val="center"/>
          </w:tcPr>
          <w:p w14:paraId="098513AD"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F2F2F2" w:themeFill="background1" w:themeFillShade="F2"/>
          </w:tcPr>
          <w:p w14:paraId="515078A3"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Data availability</w:t>
            </w:r>
          </w:p>
        </w:tc>
        <w:tc>
          <w:tcPr>
            <w:tcW w:w="990" w:type="dxa"/>
            <w:shd w:val="clear" w:color="auto" w:fill="F2F2F2" w:themeFill="background1" w:themeFillShade="F2"/>
          </w:tcPr>
          <w:p w14:paraId="1730E62D"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75</w:t>
            </w:r>
          </w:p>
        </w:tc>
        <w:tc>
          <w:tcPr>
            <w:tcW w:w="270" w:type="dxa"/>
            <w:shd w:val="clear" w:color="auto" w:fill="auto"/>
            <w:vAlign w:val="center"/>
          </w:tcPr>
          <w:p w14:paraId="49FB0179"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3D74507B"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Learning Environment</w:t>
            </w:r>
          </w:p>
        </w:tc>
        <w:tc>
          <w:tcPr>
            <w:tcW w:w="810" w:type="dxa"/>
            <w:shd w:val="clear" w:color="auto" w:fill="E7E6E6" w:themeFill="background2"/>
          </w:tcPr>
          <w:p w14:paraId="32404A23" w14:textId="5B6EA012" w:rsidR="007F5D93" w:rsidRPr="007F5D93" w:rsidRDefault="00B04DD4" w:rsidP="00B4587A">
            <w:pPr>
              <w:pStyle w:val="NoSpacing"/>
              <w:jc w:val="right"/>
              <w:rPr>
                <w:rFonts w:ascii="Helvetica" w:hAnsi="Helvetica" w:cs="Helvetica"/>
                <w:sz w:val="16"/>
              </w:rPr>
            </w:pPr>
            <w:r>
              <w:rPr>
                <w:rFonts w:ascii="Helvetica" w:hAnsi="Helvetica" w:cs="Helvetica"/>
                <w:sz w:val="16"/>
              </w:rPr>
              <w:t>92</w:t>
            </w:r>
          </w:p>
        </w:tc>
      </w:tr>
      <w:tr w:rsidR="007F5D93" w:rsidRPr="007F5D93" w14:paraId="6AA9FB4B" w14:textId="77777777" w:rsidTr="00B04DD4">
        <w:trPr>
          <w:trHeight w:val="20"/>
        </w:trPr>
        <w:tc>
          <w:tcPr>
            <w:tcW w:w="810" w:type="dxa"/>
            <w:vMerge/>
            <w:shd w:val="clear" w:color="auto" w:fill="AF1F2C"/>
            <w:textDirection w:val="btLr"/>
            <w:vAlign w:val="center"/>
          </w:tcPr>
          <w:p w14:paraId="40DF9114"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D9D9D9" w:themeFill="background1" w:themeFillShade="D9"/>
          </w:tcPr>
          <w:p w14:paraId="5BCD7F49"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Availability</w:t>
            </w:r>
          </w:p>
        </w:tc>
        <w:tc>
          <w:tcPr>
            <w:tcW w:w="990" w:type="dxa"/>
            <w:shd w:val="clear" w:color="auto" w:fill="D9D9D9" w:themeFill="background1" w:themeFillShade="D9"/>
          </w:tcPr>
          <w:p w14:paraId="7598F73F" w14:textId="77777777" w:rsidR="007F5D93" w:rsidRPr="007F5D93" w:rsidRDefault="007F5D93" w:rsidP="00B4587A">
            <w:pPr>
              <w:pStyle w:val="NoSpacing"/>
              <w:rPr>
                <w:rFonts w:ascii="Helvetica" w:hAnsi="Helvetica" w:cs="Helvetica"/>
                <w:sz w:val="16"/>
              </w:rPr>
            </w:pPr>
            <w:r w:rsidRPr="007F5D93">
              <w:rPr>
                <w:rFonts w:ascii="Helvetica" w:hAnsi="Helvetica" w:cs="Helvetica"/>
                <w:b/>
                <w:sz w:val="16"/>
              </w:rPr>
              <w:t>97</w:t>
            </w:r>
          </w:p>
        </w:tc>
        <w:tc>
          <w:tcPr>
            <w:tcW w:w="270" w:type="dxa"/>
            <w:shd w:val="clear" w:color="auto" w:fill="auto"/>
            <w:vAlign w:val="center"/>
          </w:tcPr>
          <w:p w14:paraId="08522307"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52166FD3"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Learning Outcomes</w:t>
            </w:r>
          </w:p>
        </w:tc>
        <w:tc>
          <w:tcPr>
            <w:tcW w:w="810" w:type="dxa"/>
            <w:shd w:val="clear" w:color="auto" w:fill="E7E6E6" w:themeFill="background2"/>
          </w:tcPr>
          <w:p w14:paraId="41CCD8E7" w14:textId="77777777" w:rsidR="007F5D93" w:rsidRPr="007F5D93" w:rsidRDefault="007F5D93" w:rsidP="00B4587A">
            <w:pPr>
              <w:pStyle w:val="NoSpacing"/>
              <w:jc w:val="right"/>
              <w:rPr>
                <w:rFonts w:ascii="Helvetica" w:hAnsi="Helvetica" w:cs="Helvetica"/>
                <w:sz w:val="16"/>
              </w:rPr>
            </w:pPr>
            <w:r w:rsidRPr="007F5D93">
              <w:rPr>
                <w:rFonts w:ascii="Helvetica" w:hAnsi="Helvetica" w:cs="Helvetica"/>
                <w:sz w:val="16"/>
              </w:rPr>
              <w:t>59</w:t>
            </w:r>
          </w:p>
        </w:tc>
      </w:tr>
      <w:tr w:rsidR="007F5D93" w:rsidRPr="007F5D93" w14:paraId="254BBC7B" w14:textId="77777777" w:rsidTr="00B04DD4">
        <w:trPr>
          <w:trHeight w:val="20"/>
        </w:trPr>
        <w:tc>
          <w:tcPr>
            <w:tcW w:w="810" w:type="dxa"/>
            <w:vMerge/>
            <w:shd w:val="clear" w:color="auto" w:fill="AF1F2C"/>
            <w:textDirection w:val="btLr"/>
            <w:vAlign w:val="center"/>
          </w:tcPr>
          <w:p w14:paraId="161A633C"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tcPr>
          <w:p w14:paraId="0D5DB95C" w14:textId="77777777" w:rsidR="007F5D93" w:rsidRPr="007F5D93" w:rsidRDefault="007F5D93" w:rsidP="00B4587A">
            <w:pPr>
              <w:pStyle w:val="NoSpacing"/>
              <w:rPr>
                <w:rFonts w:ascii="Helvetica" w:hAnsi="Helvetica" w:cs="Helvetica"/>
                <w:b/>
                <w:sz w:val="16"/>
              </w:rPr>
            </w:pPr>
            <w:r w:rsidRPr="007F5D93">
              <w:rPr>
                <w:rFonts w:ascii="Helvetica" w:hAnsi="Helvetica" w:cs="Helvetica"/>
                <w:sz w:val="16"/>
              </w:rPr>
              <w:t>Classrooms</w:t>
            </w:r>
          </w:p>
        </w:tc>
        <w:tc>
          <w:tcPr>
            <w:tcW w:w="990" w:type="dxa"/>
            <w:shd w:val="clear" w:color="auto" w:fill="E7E6E6" w:themeFill="background2"/>
          </w:tcPr>
          <w:p w14:paraId="5F9CB99D"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92</w:t>
            </w:r>
          </w:p>
        </w:tc>
        <w:tc>
          <w:tcPr>
            <w:tcW w:w="270" w:type="dxa"/>
            <w:shd w:val="clear" w:color="auto" w:fill="auto"/>
            <w:vAlign w:val="center"/>
          </w:tcPr>
          <w:p w14:paraId="1A89A8E9" w14:textId="77777777" w:rsidR="007F5D93" w:rsidRPr="007F5D93" w:rsidRDefault="007F5D93" w:rsidP="00B4587A">
            <w:pPr>
              <w:pStyle w:val="NoSpacing"/>
              <w:rPr>
                <w:rFonts w:ascii="Helvetica" w:hAnsi="Helvetica" w:cs="Helvetica"/>
                <w:sz w:val="16"/>
              </w:rPr>
            </w:pPr>
          </w:p>
        </w:tc>
        <w:tc>
          <w:tcPr>
            <w:tcW w:w="3512" w:type="dxa"/>
            <w:shd w:val="clear" w:color="auto" w:fill="D9D9D9" w:themeFill="background1" w:themeFillShade="D9"/>
            <w:vAlign w:val="center"/>
          </w:tcPr>
          <w:p w14:paraId="2E21A333"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Adaptability</w:t>
            </w:r>
          </w:p>
        </w:tc>
        <w:tc>
          <w:tcPr>
            <w:tcW w:w="810" w:type="dxa"/>
            <w:shd w:val="clear" w:color="auto" w:fill="D9D9D9" w:themeFill="background1" w:themeFillShade="D9"/>
          </w:tcPr>
          <w:p w14:paraId="5B7EA9FA"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84</w:t>
            </w:r>
          </w:p>
        </w:tc>
      </w:tr>
      <w:tr w:rsidR="007F5D93" w:rsidRPr="007F5D93" w14:paraId="5A47B345" w14:textId="77777777" w:rsidTr="00B04DD4">
        <w:trPr>
          <w:trHeight w:val="20"/>
        </w:trPr>
        <w:tc>
          <w:tcPr>
            <w:tcW w:w="810" w:type="dxa"/>
            <w:vMerge/>
            <w:shd w:val="clear" w:color="auto" w:fill="AF1F2C"/>
            <w:textDirection w:val="btLr"/>
            <w:vAlign w:val="center"/>
          </w:tcPr>
          <w:p w14:paraId="658A7A4C"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tcPr>
          <w:p w14:paraId="0C82979E" w14:textId="77777777" w:rsidR="007F5D93" w:rsidRPr="007F5D93" w:rsidRDefault="007F5D93" w:rsidP="00B4587A">
            <w:pPr>
              <w:pStyle w:val="NoSpacing"/>
              <w:rPr>
                <w:rFonts w:ascii="Helvetica" w:hAnsi="Helvetica" w:cs="Helvetica"/>
                <w:b/>
                <w:sz w:val="16"/>
              </w:rPr>
            </w:pPr>
            <w:r w:rsidRPr="007F5D93">
              <w:rPr>
                <w:rFonts w:ascii="Helvetica" w:hAnsi="Helvetica" w:cs="Helvetica"/>
                <w:sz w:val="16"/>
              </w:rPr>
              <w:t>Sanitation</w:t>
            </w:r>
          </w:p>
        </w:tc>
        <w:tc>
          <w:tcPr>
            <w:tcW w:w="990" w:type="dxa"/>
            <w:shd w:val="clear" w:color="auto" w:fill="E7E6E6" w:themeFill="background2"/>
          </w:tcPr>
          <w:p w14:paraId="08FF525B"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100</w:t>
            </w:r>
          </w:p>
        </w:tc>
        <w:tc>
          <w:tcPr>
            <w:tcW w:w="270" w:type="dxa"/>
            <w:shd w:val="clear" w:color="auto" w:fill="auto"/>
            <w:vAlign w:val="center"/>
          </w:tcPr>
          <w:p w14:paraId="46072B40"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1C1306F3"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Children with Disabilities</w:t>
            </w:r>
          </w:p>
        </w:tc>
        <w:tc>
          <w:tcPr>
            <w:tcW w:w="810" w:type="dxa"/>
            <w:shd w:val="clear" w:color="auto" w:fill="E7E6E6" w:themeFill="background2"/>
          </w:tcPr>
          <w:p w14:paraId="20FE63CF" w14:textId="77777777" w:rsidR="007F5D93" w:rsidRPr="007F5D93" w:rsidRDefault="007F5D93" w:rsidP="00B4587A">
            <w:pPr>
              <w:pStyle w:val="NoSpacing"/>
              <w:jc w:val="right"/>
              <w:rPr>
                <w:rFonts w:ascii="Helvetica" w:hAnsi="Helvetica" w:cs="Helvetica"/>
                <w:sz w:val="16"/>
              </w:rPr>
            </w:pPr>
            <w:r w:rsidRPr="007F5D93">
              <w:rPr>
                <w:rFonts w:ascii="Helvetica" w:hAnsi="Helvetica" w:cs="Helvetica"/>
                <w:sz w:val="16"/>
              </w:rPr>
              <w:t>100</w:t>
            </w:r>
          </w:p>
        </w:tc>
      </w:tr>
      <w:tr w:rsidR="007F5D93" w:rsidRPr="007F5D93" w14:paraId="7F7E25B8" w14:textId="77777777" w:rsidTr="00B04DD4">
        <w:trPr>
          <w:trHeight w:val="20"/>
        </w:trPr>
        <w:tc>
          <w:tcPr>
            <w:tcW w:w="810" w:type="dxa"/>
            <w:vMerge/>
            <w:shd w:val="clear" w:color="auto" w:fill="AF1F2C"/>
            <w:textDirection w:val="btLr"/>
            <w:vAlign w:val="center"/>
          </w:tcPr>
          <w:p w14:paraId="0BB54B51"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tcPr>
          <w:p w14:paraId="45170F75" w14:textId="77777777" w:rsidR="007F5D93" w:rsidRPr="007F5D93" w:rsidRDefault="007F5D93" w:rsidP="00B4587A">
            <w:pPr>
              <w:pStyle w:val="NoSpacing"/>
              <w:rPr>
                <w:rFonts w:ascii="Helvetica" w:hAnsi="Helvetica" w:cs="Helvetica"/>
                <w:b/>
                <w:sz w:val="16"/>
              </w:rPr>
            </w:pPr>
            <w:r w:rsidRPr="007F5D93">
              <w:rPr>
                <w:rFonts w:ascii="Helvetica" w:hAnsi="Helvetica" w:cs="Helvetica"/>
                <w:sz w:val="16"/>
              </w:rPr>
              <w:t>Teachers</w:t>
            </w:r>
          </w:p>
        </w:tc>
        <w:tc>
          <w:tcPr>
            <w:tcW w:w="990" w:type="dxa"/>
            <w:shd w:val="clear" w:color="auto" w:fill="E7E6E6" w:themeFill="background2"/>
          </w:tcPr>
          <w:p w14:paraId="20B8DBB7"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100</w:t>
            </w:r>
          </w:p>
        </w:tc>
        <w:tc>
          <w:tcPr>
            <w:tcW w:w="270" w:type="dxa"/>
            <w:shd w:val="clear" w:color="auto" w:fill="auto"/>
            <w:vAlign w:val="center"/>
          </w:tcPr>
          <w:p w14:paraId="6ED1B7A5"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7E7F2FAC"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Children of Minorities</w:t>
            </w:r>
          </w:p>
        </w:tc>
        <w:tc>
          <w:tcPr>
            <w:tcW w:w="810" w:type="dxa"/>
            <w:shd w:val="clear" w:color="auto" w:fill="E7E6E6" w:themeFill="background2"/>
          </w:tcPr>
          <w:p w14:paraId="7054C7B4" w14:textId="77777777" w:rsidR="007F5D93" w:rsidRPr="007F5D93" w:rsidRDefault="007F5D93" w:rsidP="00B4587A">
            <w:pPr>
              <w:pStyle w:val="NoSpacing"/>
              <w:jc w:val="right"/>
              <w:rPr>
                <w:rFonts w:ascii="Helvetica" w:hAnsi="Helvetica" w:cs="Helvetica"/>
                <w:sz w:val="16"/>
              </w:rPr>
            </w:pPr>
            <w:r w:rsidRPr="007F5D93">
              <w:rPr>
                <w:rFonts w:ascii="Helvetica" w:hAnsi="Helvetica" w:cs="Helvetica"/>
                <w:sz w:val="16"/>
              </w:rPr>
              <w:t>68</w:t>
            </w:r>
          </w:p>
        </w:tc>
      </w:tr>
      <w:tr w:rsidR="007F5D93" w:rsidRPr="007F5D93" w14:paraId="60B76C9E" w14:textId="77777777" w:rsidTr="00B04DD4">
        <w:trPr>
          <w:trHeight w:val="20"/>
        </w:trPr>
        <w:tc>
          <w:tcPr>
            <w:tcW w:w="810" w:type="dxa"/>
            <w:vMerge/>
            <w:shd w:val="clear" w:color="auto" w:fill="AF1F2C"/>
            <w:textDirection w:val="btLr"/>
            <w:vAlign w:val="center"/>
          </w:tcPr>
          <w:p w14:paraId="257A0240"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tcPr>
          <w:p w14:paraId="54B51536" w14:textId="77777777" w:rsidR="007F5D93" w:rsidRPr="007F5D93" w:rsidRDefault="007F5D93" w:rsidP="00B4587A">
            <w:pPr>
              <w:pStyle w:val="NoSpacing"/>
              <w:rPr>
                <w:rFonts w:ascii="Helvetica" w:hAnsi="Helvetica" w:cs="Helvetica"/>
                <w:b/>
                <w:sz w:val="16"/>
              </w:rPr>
            </w:pPr>
            <w:r w:rsidRPr="007F5D93">
              <w:rPr>
                <w:rFonts w:ascii="Helvetica" w:hAnsi="Helvetica" w:cs="Helvetica"/>
                <w:sz w:val="16"/>
              </w:rPr>
              <w:t>Textbooks</w:t>
            </w:r>
          </w:p>
        </w:tc>
        <w:tc>
          <w:tcPr>
            <w:tcW w:w="990" w:type="dxa"/>
            <w:shd w:val="clear" w:color="auto" w:fill="E7E6E6" w:themeFill="background2"/>
          </w:tcPr>
          <w:p w14:paraId="41FB88CA"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No data</w:t>
            </w:r>
          </w:p>
        </w:tc>
        <w:tc>
          <w:tcPr>
            <w:tcW w:w="270" w:type="dxa"/>
            <w:shd w:val="clear" w:color="auto" w:fill="auto"/>
            <w:vAlign w:val="center"/>
          </w:tcPr>
          <w:p w14:paraId="69BB94DB"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5C4A8FD7"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Out of School Education</w:t>
            </w:r>
          </w:p>
        </w:tc>
        <w:tc>
          <w:tcPr>
            <w:tcW w:w="810" w:type="dxa"/>
            <w:shd w:val="clear" w:color="auto" w:fill="E7E6E6" w:themeFill="background2"/>
          </w:tcPr>
          <w:p w14:paraId="337D15BB" w14:textId="77777777" w:rsidR="007F5D93" w:rsidRPr="007F5D93" w:rsidRDefault="007F5D93" w:rsidP="00B4587A">
            <w:pPr>
              <w:pStyle w:val="NoSpacing"/>
              <w:jc w:val="right"/>
              <w:rPr>
                <w:rFonts w:ascii="Helvetica" w:hAnsi="Helvetica" w:cs="Helvetica"/>
                <w:sz w:val="16"/>
              </w:rPr>
            </w:pPr>
            <w:r w:rsidRPr="007F5D93">
              <w:rPr>
                <w:rFonts w:ascii="Helvetica" w:hAnsi="Helvetica" w:cs="Helvetica"/>
                <w:sz w:val="16"/>
              </w:rPr>
              <w:t>100</w:t>
            </w:r>
          </w:p>
        </w:tc>
      </w:tr>
      <w:tr w:rsidR="007F5D93" w:rsidRPr="007F5D93" w14:paraId="23450335" w14:textId="77777777" w:rsidTr="00B04DD4">
        <w:trPr>
          <w:trHeight w:val="20"/>
        </w:trPr>
        <w:tc>
          <w:tcPr>
            <w:tcW w:w="810" w:type="dxa"/>
            <w:vMerge/>
            <w:shd w:val="clear" w:color="auto" w:fill="AF1F2C"/>
            <w:textDirection w:val="btLr"/>
            <w:vAlign w:val="center"/>
          </w:tcPr>
          <w:p w14:paraId="77CEC063" w14:textId="77777777" w:rsidR="007F5D93" w:rsidRPr="007F5D93" w:rsidRDefault="007F5D93" w:rsidP="00B4587A">
            <w:pPr>
              <w:pStyle w:val="NoSpacing"/>
              <w:ind w:left="113" w:right="113"/>
              <w:jc w:val="center"/>
              <w:rPr>
                <w:rFonts w:ascii="Helvetica" w:hAnsi="Helvetica" w:cs="Helvetica"/>
                <w:b/>
                <w:color w:val="FFFFFF" w:themeColor="background1"/>
                <w:sz w:val="16"/>
              </w:rPr>
            </w:pPr>
          </w:p>
        </w:tc>
        <w:tc>
          <w:tcPr>
            <w:tcW w:w="3418" w:type="dxa"/>
            <w:gridSpan w:val="2"/>
            <w:shd w:val="clear" w:color="auto" w:fill="E7E6E6" w:themeFill="background2"/>
            <w:vAlign w:val="center"/>
          </w:tcPr>
          <w:p w14:paraId="51B791BF" w14:textId="77777777" w:rsidR="007F5D93" w:rsidRPr="007F5D93" w:rsidRDefault="007F5D93" w:rsidP="00B4587A">
            <w:pPr>
              <w:pStyle w:val="NoSpacing"/>
              <w:jc w:val="center"/>
              <w:rPr>
                <w:rFonts w:ascii="Helvetica" w:hAnsi="Helvetica" w:cs="Helvetica"/>
                <w:b/>
                <w:sz w:val="16"/>
              </w:rPr>
            </w:pPr>
          </w:p>
        </w:tc>
        <w:tc>
          <w:tcPr>
            <w:tcW w:w="990" w:type="dxa"/>
            <w:shd w:val="clear" w:color="auto" w:fill="E7E6E6" w:themeFill="background2"/>
          </w:tcPr>
          <w:p w14:paraId="0A5F28ED" w14:textId="77777777" w:rsidR="007F5D93" w:rsidRPr="007F5D93" w:rsidRDefault="007F5D93" w:rsidP="00B4587A">
            <w:pPr>
              <w:pStyle w:val="NoSpacing"/>
              <w:rPr>
                <w:rFonts w:ascii="Helvetica" w:hAnsi="Helvetica" w:cs="Helvetica"/>
                <w:sz w:val="16"/>
              </w:rPr>
            </w:pPr>
          </w:p>
        </w:tc>
        <w:tc>
          <w:tcPr>
            <w:tcW w:w="270" w:type="dxa"/>
            <w:shd w:val="clear" w:color="auto" w:fill="auto"/>
            <w:vAlign w:val="center"/>
          </w:tcPr>
          <w:p w14:paraId="7FB1CC15"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62EF467A"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Out of School Children</w:t>
            </w:r>
          </w:p>
        </w:tc>
        <w:tc>
          <w:tcPr>
            <w:tcW w:w="810" w:type="dxa"/>
            <w:shd w:val="clear" w:color="auto" w:fill="E7E6E6" w:themeFill="background2"/>
          </w:tcPr>
          <w:p w14:paraId="106F921C" w14:textId="77777777" w:rsidR="007F5D93" w:rsidRPr="007F5D93" w:rsidRDefault="007F5D93" w:rsidP="00B4587A">
            <w:pPr>
              <w:pStyle w:val="NoSpacing"/>
              <w:jc w:val="right"/>
              <w:rPr>
                <w:rFonts w:ascii="Helvetica" w:hAnsi="Helvetica" w:cs="Helvetica"/>
                <w:sz w:val="16"/>
              </w:rPr>
            </w:pPr>
            <w:r w:rsidRPr="007F5D93">
              <w:rPr>
                <w:rFonts w:ascii="Helvetica" w:hAnsi="Helvetica" w:cs="Helvetica"/>
                <w:sz w:val="16"/>
              </w:rPr>
              <w:t>69</w:t>
            </w:r>
          </w:p>
        </w:tc>
      </w:tr>
      <w:tr w:rsidR="007F5D93" w:rsidRPr="007F5D93" w14:paraId="74875D1A" w14:textId="77777777" w:rsidTr="00B04DD4">
        <w:trPr>
          <w:trHeight w:val="20"/>
        </w:trPr>
        <w:tc>
          <w:tcPr>
            <w:tcW w:w="810" w:type="dxa"/>
            <w:shd w:val="clear" w:color="auto" w:fill="auto"/>
            <w:textDirection w:val="btLr"/>
            <w:vAlign w:val="center"/>
          </w:tcPr>
          <w:p w14:paraId="2998C339" w14:textId="77777777" w:rsidR="007F5D93" w:rsidRPr="007F5D93" w:rsidRDefault="007F5D93" w:rsidP="00B4587A">
            <w:pPr>
              <w:pStyle w:val="NoSpacing"/>
              <w:ind w:left="113" w:right="113"/>
              <w:rPr>
                <w:rFonts w:ascii="Helvetica" w:hAnsi="Helvetica" w:cs="Helvetica"/>
                <w:b/>
                <w:color w:val="FFFFFF" w:themeColor="background1"/>
                <w:sz w:val="16"/>
              </w:rPr>
            </w:pPr>
          </w:p>
        </w:tc>
        <w:tc>
          <w:tcPr>
            <w:tcW w:w="3418" w:type="dxa"/>
            <w:gridSpan w:val="2"/>
            <w:shd w:val="clear" w:color="auto" w:fill="auto"/>
            <w:vAlign w:val="center"/>
          </w:tcPr>
          <w:p w14:paraId="648639AC" w14:textId="77777777" w:rsidR="007F5D93" w:rsidRPr="007F5D93" w:rsidRDefault="007F5D93" w:rsidP="00B4587A">
            <w:pPr>
              <w:pStyle w:val="NoSpacing"/>
              <w:jc w:val="center"/>
              <w:rPr>
                <w:rFonts w:ascii="Helvetica" w:hAnsi="Helvetica" w:cs="Helvetica"/>
                <w:b/>
                <w:sz w:val="16"/>
              </w:rPr>
            </w:pPr>
          </w:p>
        </w:tc>
        <w:tc>
          <w:tcPr>
            <w:tcW w:w="990" w:type="dxa"/>
            <w:shd w:val="clear" w:color="auto" w:fill="auto"/>
          </w:tcPr>
          <w:p w14:paraId="0C5F5EC5" w14:textId="77777777" w:rsidR="007F5D93" w:rsidRPr="007F5D93" w:rsidRDefault="007F5D93" w:rsidP="00B4587A">
            <w:pPr>
              <w:pStyle w:val="NoSpacing"/>
              <w:rPr>
                <w:rFonts w:ascii="Helvetica" w:hAnsi="Helvetica" w:cs="Helvetica"/>
                <w:sz w:val="16"/>
              </w:rPr>
            </w:pPr>
          </w:p>
        </w:tc>
        <w:tc>
          <w:tcPr>
            <w:tcW w:w="270" w:type="dxa"/>
            <w:shd w:val="clear" w:color="auto" w:fill="auto"/>
            <w:vAlign w:val="center"/>
          </w:tcPr>
          <w:p w14:paraId="41C35288" w14:textId="77777777" w:rsidR="007F5D93" w:rsidRPr="007F5D93" w:rsidRDefault="007F5D93" w:rsidP="00B4587A">
            <w:pPr>
              <w:pStyle w:val="NoSpacing"/>
              <w:rPr>
                <w:rFonts w:ascii="Helvetica" w:hAnsi="Helvetica" w:cs="Helvetica"/>
                <w:sz w:val="16"/>
              </w:rPr>
            </w:pPr>
          </w:p>
        </w:tc>
        <w:tc>
          <w:tcPr>
            <w:tcW w:w="3512" w:type="dxa"/>
            <w:shd w:val="clear" w:color="auto" w:fill="auto"/>
            <w:vAlign w:val="center"/>
          </w:tcPr>
          <w:p w14:paraId="7D41F043" w14:textId="77777777" w:rsidR="007F5D93" w:rsidRPr="007F5D93" w:rsidRDefault="007F5D93" w:rsidP="00B4587A">
            <w:pPr>
              <w:pStyle w:val="NoSpacing"/>
              <w:rPr>
                <w:rFonts w:ascii="Helvetica" w:hAnsi="Helvetica" w:cs="Helvetica"/>
                <w:sz w:val="16"/>
              </w:rPr>
            </w:pPr>
          </w:p>
        </w:tc>
        <w:tc>
          <w:tcPr>
            <w:tcW w:w="810" w:type="dxa"/>
            <w:shd w:val="clear" w:color="auto" w:fill="auto"/>
          </w:tcPr>
          <w:p w14:paraId="65AB37C5" w14:textId="77777777" w:rsidR="007F5D93" w:rsidRPr="007F5D93" w:rsidRDefault="007F5D93" w:rsidP="00B4587A">
            <w:pPr>
              <w:pStyle w:val="NoSpacing"/>
              <w:jc w:val="right"/>
              <w:rPr>
                <w:rFonts w:ascii="Helvetica" w:hAnsi="Helvetica" w:cs="Helvetica"/>
                <w:sz w:val="16"/>
              </w:rPr>
            </w:pPr>
          </w:p>
        </w:tc>
      </w:tr>
      <w:tr w:rsidR="007F5D93" w:rsidRPr="007F5D93" w14:paraId="28F186FC" w14:textId="77777777" w:rsidTr="00B04DD4">
        <w:trPr>
          <w:trHeight w:val="20"/>
        </w:trPr>
        <w:tc>
          <w:tcPr>
            <w:tcW w:w="810" w:type="dxa"/>
            <w:vMerge w:val="restart"/>
            <w:shd w:val="clear" w:color="auto" w:fill="AF1F2C"/>
            <w:textDirection w:val="btLr"/>
            <w:vAlign w:val="center"/>
          </w:tcPr>
          <w:p w14:paraId="080B94CD" w14:textId="77777777" w:rsidR="007F5D93" w:rsidRPr="007F5D93" w:rsidRDefault="007F5D93" w:rsidP="00B4587A">
            <w:pPr>
              <w:pStyle w:val="NoSpacing"/>
              <w:ind w:left="113" w:right="113"/>
              <w:jc w:val="center"/>
              <w:rPr>
                <w:rFonts w:ascii="Helvetica" w:hAnsi="Helvetica" w:cs="Helvetica"/>
                <w:b/>
                <w:sz w:val="16"/>
              </w:rPr>
            </w:pPr>
            <w:r w:rsidRPr="007F5D93">
              <w:rPr>
                <w:rFonts w:ascii="Helvetica" w:hAnsi="Helvetica" w:cs="Helvetica"/>
                <w:b/>
                <w:color w:val="FFFFFF" w:themeColor="background1"/>
                <w:sz w:val="16"/>
              </w:rPr>
              <w:t>Cross-Cutting Themes Scores</w:t>
            </w:r>
          </w:p>
        </w:tc>
        <w:tc>
          <w:tcPr>
            <w:tcW w:w="3418" w:type="dxa"/>
            <w:gridSpan w:val="2"/>
            <w:shd w:val="clear" w:color="auto" w:fill="D9D9D9" w:themeFill="background1" w:themeFillShade="D9"/>
            <w:vAlign w:val="center"/>
          </w:tcPr>
          <w:p w14:paraId="3F5834BF"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Alignment of education aims</w:t>
            </w:r>
          </w:p>
        </w:tc>
        <w:tc>
          <w:tcPr>
            <w:tcW w:w="990" w:type="dxa"/>
            <w:shd w:val="clear" w:color="auto" w:fill="D9D9D9" w:themeFill="background1" w:themeFillShade="D9"/>
          </w:tcPr>
          <w:p w14:paraId="35EC46AC" w14:textId="77777777" w:rsidR="007F5D93" w:rsidRPr="007F5D93" w:rsidRDefault="007F5D93" w:rsidP="00B4587A">
            <w:pPr>
              <w:pStyle w:val="NoSpacing"/>
              <w:rPr>
                <w:rFonts w:ascii="Helvetica" w:hAnsi="Helvetica" w:cs="Helvetica"/>
                <w:sz w:val="16"/>
              </w:rPr>
            </w:pPr>
          </w:p>
        </w:tc>
        <w:tc>
          <w:tcPr>
            <w:tcW w:w="270" w:type="dxa"/>
            <w:shd w:val="clear" w:color="auto" w:fill="D9D9D9" w:themeFill="background1" w:themeFillShade="D9"/>
            <w:vAlign w:val="center"/>
          </w:tcPr>
          <w:p w14:paraId="446012AB" w14:textId="77777777" w:rsidR="007F5D93" w:rsidRPr="007F5D93" w:rsidRDefault="007F5D93" w:rsidP="00B4587A">
            <w:pPr>
              <w:pStyle w:val="NoSpacing"/>
              <w:rPr>
                <w:rFonts w:ascii="Helvetica" w:hAnsi="Helvetica" w:cs="Helvetica"/>
                <w:sz w:val="16"/>
              </w:rPr>
            </w:pPr>
          </w:p>
        </w:tc>
        <w:tc>
          <w:tcPr>
            <w:tcW w:w="3512" w:type="dxa"/>
            <w:shd w:val="clear" w:color="auto" w:fill="D9D9D9" w:themeFill="background1" w:themeFillShade="D9"/>
            <w:vAlign w:val="center"/>
          </w:tcPr>
          <w:p w14:paraId="34B91053" w14:textId="77777777" w:rsidR="007F5D93" w:rsidRPr="007F5D93" w:rsidRDefault="007F5D93" w:rsidP="00B4587A">
            <w:pPr>
              <w:pStyle w:val="NoSpacing"/>
              <w:jc w:val="right"/>
              <w:rPr>
                <w:rFonts w:ascii="Helvetica" w:hAnsi="Helvetica" w:cs="Helvetica"/>
                <w:sz w:val="16"/>
              </w:rPr>
            </w:pPr>
          </w:p>
        </w:tc>
        <w:tc>
          <w:tcPr>
            <w:tcW w:w="810" w:type="dxa"/>
            <w:shd w:val="clear" w:color="auto" w:fill="D9D9D9" w:themeFill="background1" w:themeFillShade="D9"/>
          </w:tcPr>
          <w:p w14:paraId="3AB410B3"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100</w:t>
            </w:r>
          </w:p>
        </w:tc>
      </w:tr>
      <w:tr w:rsidR="007F5D93" w:rsidRPr="007F5D93" w14:paraId="0773BEC6" w14:textId="77777777" w:rsidTr="00B04DD4">
        <w:trPr>
          <w:trHeight w:val="20"/>
        </w:trPr>
        <w:tc>
          <w:tcPr>
            <w:tcW w:w="810" w:type="dxa"/>
            <w:vMerge/>
            <w:shd w:val="clear" w:color="auto" w:fill="AF1F2C"/>
          </w:tcPr>
          <w:p w14:paraId="54D430DC" w14:textId="77777777" w:rsidR="007F5D93" w:rsidRPr="007F5D93" w:rsidRDefault="007F5D93" w:rsidP="00B4587A">
            <w:pPr>
              <w:pStyle w:val="NoSpacing"/>
              <w:jc w:val="center"/>
              <w:rPr>
                <w:rFonts w:ascii="Helvetica" w:hAnsi="Helvetica" w:cs="Helvetica"/>
                <w:b/>
                <w:sz w:val="16"/>
              </w:rPr>
            </w:pPr>
          </w:p>
        </w:tc>
        <w:tc>
          <w:tcPr>
            <w:tcW w:w="3418" w:type="dxa"/>
            <w:gridSpan w:val="2"/>
            <w:shd w:val="clear" w:color="auto" w:fill="E7E6E6" w:themeFill="background2"/>
            <w:vAlign w:val="center"/>
          </w:tcPr>
          <w:p w14:paraId="6B63546A"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Children with Disabilities</w:t>
            </w:r>
          </w:p>
        </w:tc>
        <w:tc>
          <w:tcPr>
            <w:tcW w:w="4772" w:type="dxa"/>
            <w:gridSpan w:val="3"/>
            <w:shd w:val="clear" w:color="auto" w:fill="E7E6E6" w:themeFill="background2"/>
          </w:tcPr>
          <w:p w14:paraId="5CAA674F"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Overall State of Education for Children with Disabilities</w:t>
            </w:r>
          </w:p>
        </w:tc>
        <w:tc>
          <w:tcPr>
            <w:tcW w:w="810" w:type="dxa"/>
            <w:shd w:val="clear" w:color="auto" w:fill="E7E6E6" w:themeFill="background2"/>
            <w:vAlign w:val="center"/>
          </w:tcPr>
          <w:p w14:paraId="104A24D5"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88</w:t>
            </w:r>
          </w:p>
        </w:tc>
      </w:tr>
      <w:tr w:rsidR="007F5D93" w:rsidRPr="007F5D93" w14:paraId="49DBD525" w14:textId="77777777" w:rsidTr="00B04DD4">
        <w:trPr>
          <w:trHeight w:val="20"/>
        </w:trPr>
        <w:tc>
          <w:tcPr>
            <w:tcW w:w="810" w:type="dxa"/>
            <w:vMerge/>
            <w:shd w:val="clear" w:color="auto" w:fill="AF1F2C"/>
          </w:tcPr>
          <w:p w14:paraId="7E6A58AA" w14:textId="77777777" w:rsidR="007F5D93" w:rsidRPr="007F5D93" w:rsidRDefault="007F5D93" w:rsidP="00B4587A">
            <w:pPr>
              <w:pStyle w:val="NoSpacing"/>
              <w:jc w:val="center"/>
              <w:rPr>
                <w:rFonts w:ascii="Helvetica" w:hAnsi="Helvetica" w:cs="Helvetica"/>
                <w:b/>
                <w:sz w:val="16"/>
              </w:rPr>
            </w:pPr>
          </w:p>
        </w:tc>
        <w:tc>
          <w:tcPr>
            <w:tcW w:w="3418" w:type="dxa"/>
            <w:gridSpan w:val="2"/>
            <w:shd w:val="clear" w:color="auto" w:fill="D9D9D9" w:themeFill="background1" w:themeFillShade="D9"/>
            <w:vAlign w:val="center"/>
          </w:tcPr>
          <w:p w14:paraId="50D86E70"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Content of education</w:t>
            </w:r>
          </w:p>
        </w:tc>
        <w:tc>
          <w:tcPr>
            <w:tcW w:w="990" w:type="dxa"/>
            <w:shd w:val="clear" w:color="auto" w:fill="D9D9D9" w:themeFill="background1" w:themeFillShade="D9"/>
          </w:tcPr>
          <w:p w14:paraId="1A11A21F" w14:textId="77777777" w:rsidR="007F5D93" w:rsidRPr="007F5D93" w:rsidRDefault="007F5D93" w:rsidP="00B4587A">
            <w:pPr>
              <w:pStyle w:val="NoSpacing"/>
              <w:rPr>
                <w:rFonts w:ascii="Helvetica" w:hAnsi="Helvetica" w:cs="Helvetica"/>
                <w:sz w:val="16"/>
              </w:rPr>
            </w:pPr>
          </w:p>
        </w:tc>
        <w:tc>
          <w:tcPr>
            <w:tcW w:w="270" w:type="dxa"/>
            <w:shd w:val="clear" w:color="auto" w:fill="D9D9D9" w:themeFill="background1" w:themeFillShade="D9"/>
            <w:vAlign w:val="center"/>
          </w:tcPr>
          <w:p w14:paraId="3185342A" w14:textId="77777777" w:rsidR="007F5D93" w:rsidRPr="007F5D93" w:rsidRDefault="007F5D93" w:rsidP="00B4587A">
            <w:pPr>
              <w:pStyle w:val="NoSpacing"/>
              <w:rPr>
                <w:rFonts w:ascii="Helvetica" w:hAnsi="Helvetica" w:cs="Helvetica"/>
                <w:sz w:val="16"/>
              </w:rPr>
            </w:pPr>
          </w:p>
        </w:tc>
        <w:tc>
          <w:tcPr>
            <w:tcW w:w="3512" w:type="dxa"/>
            <w:shd w:val="clear" w:color="auto" w:fill="D9D9D9" w:themeFill="background1" w:themeFillShade="D9"/>
            <w:vAlign w:val="center"/>
          </w:tcPr>
          <w:p w14:paraId="5E2EEBE0" w14:textId="77777777" w:rsidR="007F5D93" w:rsidRPr="007F5D93" w:rsidRDefault="007F5D93" w:rsidP="00B4587A">
            <w:pPr>
              <w:pStyle w:val="NoSpacing"/>
              <w:rPr>
                <w:rFonts w:ascii="Helvetica" w:hAnsi="Helvetica" w:cs="Helvetica"/>
                <w:sz w:val="16"/>
              </w:rPr>
            </w:pPr>
          </w:p>
        </w:tc>
        <w:tc>
          <w:tcPr>
            <w:tcW w:w="810" w:type="dxa"/>
            <w:shd w:val="clear" w:color="auto" w:fill="D9D9D9" w:themeFill="background1" w:themeFillShade="D9"/>
          </w:tcPr>
          <w:p w14:paraId="491BC831"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53</w:t>
            </w:r>
          </w:p>
        </w:tc>
      </w:tr>
      <w:tr w:rsidR="007F5D93" w:rsidRPr="007F5D93" w14:paraId="4B393372" w14:textId="77777777" w:rsidTr="00B04DD4">
        <w:trPr>
          <w:trHeight w:val="20"/>
        </w:trPr>
        <w:tc>
          <w:tcPr>
            <w:tcW w:w="810" w:type="dxa"/>
            <w:vMerge/>
            <w:shd w:val="clear" w:color="auto" w:fill="AF1F2C"/>
          </w:tcPr>
          <w:p w14:paraId="118CC203" w14:textId="77777777" w:rsidR="007F5D93" w:rsidRPr="007F5D93" w:rsidRDefault="007F5D93" w:rsidP="00B4587A">
            <w:pPr>
              <w:pStyle w:val="NoSpacing"/>
              <w:jc w:val="center"/>
              <w:rPr>
                <w:rFonts w:ascii="Helvetica" w:hAnsi="Helvetica" w:cs="Helvetica"/>
                <w:b/>
                <w:sz w:val="16"/>
              </w:rPr>
            </w:pPr>
          </w:p>
        </w:tc>
        <w:tc>
          <w:tcPr>
            <w:tcW w:w="3418" w:type="dxa"/>
            <w:gridSpan w:val="2"/>
            <w:vMerge w:val="restart"/>
            <w:shd w:val="clear" w:color="auto" w:fill="E7E6E6" w:themeFill="background2"/>
            <w:vAlign w:val="center"/>
          </w:tcPr>
          <w:p w14:paraId="5FFBB133"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Girls' Education</w:t>
            </w:r>
          </w:p>
        </w:tc>
        <w:tc>
          <w:tcPr>
            <w:tcW w:w="4772" w:type="dxa"/>
            <w:gridSpan w:val="3"/>
            <w:shd w:val="clear" w:color="auto" w:fill="E7E6E6" w:themeFill="background2"/>
          </w:tcPr>
          <w:p w14:paraId="55C9CFA3"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Overall state of girls' education</w:t>
            </w:r>
          </w:p>
        </w:tc>
        <w:tc>
          <w:tcPr>
            <w:tcW w:w="810" w:type="dxa"/>
            <w:shd w:val="clear" w:color="auto" w:fill="E7E6E6" w:themeFill="background2"/>
          </w:tcPr>
          <w:p w14:paraId="3A2F7F73"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87</w:t>
            </w:r>
          </w:p>
        </w:tc>
      </w:tr>
      <w:tr w:rsidR="007F5D93" w:rsidRPr="007F5D93" w14:paraId="1CBD5EBC" w14:textId="77777777" w:rsidTr="00B04DD4">
        <w:trPr>
          <w:trHeight w:val="20"/>
        </w:trPr>
        <w:tc>
          <w:tcPr>
            <w:tcW w:w="810" w:type="dxa"/>
            <w:vMerge/>
            <w:shd w:val="clear" w:color="auto" w:fill="AF1F2C"/>
          </w:tcPr>
          <w:p w14:paraId="6C777FFE"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E7E6E6" w:themeFill="background2"/>
            <w:vAlign w:val="center"/>
          </w:tcPr>
          <w:p w14:paraId="3F761C79"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E7E6E6" w:themeFill="background2"/>
          </w:tcPr>
          <w:p w14:paraId="312F28B2"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Discriminatory environment</w:t>
            </w:r>
          </w:p>
        </w:tc>
        <w:tc>
          <w:tcPr>
            <w:tcW w:w="810" w:type="dxa"/>
            <w:shd w:val="clear" w:color="auto" w:fill="E7E6E6" w:themeFill="background2"/>
          </w:tcPr>
          <w:p w14:paraId="79390D3A"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80</w:t>
            </w:r>
          </w:p>
        </w:tc>
      </w:tr>
      <w:tr w:rsidR="007F5D93" w:rsidRPr="007F5D93" w14:paraId="0D735797" w14:textId="77777777" w:rsidTr="00B04DD4">
        <w:trPr>
          <w:trHeight w:val="20"/>
        </w:trPr>
        <w:tc>
          <w:tcPr>
            <w:tcW w:w="810" w:type="dxa"/>
            <w:vMerge/>
            <w:shd w:val="clear" w:color="auto" w:fill="AF1F2C"/>
          </w:tcPr>
          <w:p w14:paraId="27E82518"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E7E6E6" w:themeFill="background2"/>
            <w:vAlign w:val="center"/>
          </w:tcPr>
          <w:p w14:paraId="0FE3D88C"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E7E6E6" w:themeFill="background2"/>
          </w:tcPr>
          <w:p w14:paraId="32F729A2"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Relative state of girls’ education</w:t>
            </w:r>
          </w:p>
        </w:tc>
        <w:tc>
          <w:tcPr>
            <w:tcW w:w="810" w:type="dxa"/>
            <w:shd w:val="clear" w:color="auto" w:fill="E7E6E6" w:themeFill="background2"/>
          </w:tcPr>
          <w:p w14:paraId="4F04FD39"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106</w:t>
            </w:r>
          </w:p>
        </w:tc>
      </w:tr>
      <w:tr w:rsidR="007F5D93" w:rsidRPr="007F5D93" w14:paraId="24BC9514" w14:textId="77777777" w:rsidTr="00B04DD4">
        <w:trPr>
          <w:trHeight w:val="20"/>
        </w:trPr>
        <w:tc>
          <w:tcPr>
            <w:tcW w:w="810" w:type="dxa"/>
            <w:vMerge/>
            <w:shd w:val="clear" w:color="auto" w:fill="AF1F2C"/>
          </w:tcPr>
          <w:p w14:paraId="1CF3F434" w14:textId="77777777" w:rsidR="007F5D93" w:rsidRPr="007F5D93" w:rsidRDefault="007F5D93" w:rsidP="00B4587A">
            <w:pPr>
              <w:pStyle w:val="NoSpacing"/>
              <w:jc w:val="center"/>
              <w:rPr>
                <w:rFonts w:ascii="Helvetica" w:hAnsi="Helvetica" w:cs="Helvetica"/>
                <w:b/>
                <w:sz w:val="16"/>
              </w:rPr>
            </w:pPr>
          </w:p>
        </w:tc>
        <w:tc>
          <w:tcPr>
            <w:tcW w:w="3418" w:type="dxa"/>
            <w:gridSpan w:val="2"/>
            <w:shd w:val="clear" w:color="auto" w:fill="D9D9D9" w:themeFill="background1" w:themeFillShade="D9"/>
            <w:vAlign w:val="center"/>
          </w:tcPr>
          <w:p w14:paraId="55EC3925"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Indigenous and Minority Populations</w:t>
            </w:r>
          </w:p>
        </w:tc>
        <w:tc>
          <w:tcPr>
            <w:tcW w:w="4772" w:type="dxa"/>
            <w:gridSpan w:val="3"/>
            <w:shd w:val="clear" w:color="auto" w:fill="D9D9D9" w:themeFill="background1" w:themeFillShade="D9"/>
          </w:tcPr>
          <w:p w14:paraId="62591A81"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Discriminatory environment</w:t>
            </w:r>
          </w:p>
        </w:tc>
        <w:tc>
          <w:tcPr>
            <w:tcW w:w="810" w:type="dxa"/>
            <w:shd w:val="clear" w:color="auto" w:fill="D9D9D9" w:themeFill="background1" w:themeFillShade="D9"/>
          </w:tcPr>
          <w:p w14:paraId="0F5AAD72"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84</w:t>
            </w:r>
          </w:p>
        </w:tc>
      </w:tr>
      <w:tr w:rsidR="007F5D93" w:rsidRPr="007F5D93" w14:paraId="541767DD" w14:textId="77777777" w:rsidTr="00B04DD4">
        <w:trPr>
          <w:trHeight w:val="20"/>
        </w:trPr>
        <w:tc>
          <w:tcPr>
            <w:tcW w:w="810" w:type="dxa"/>
            <w:vMerge/>
            <w:shd w:val="clear" w:color="auto" w:fill="AF1F2C"/>
          </w:tcPr>
          <w:p w14:paraId="71AFEF9D" w14:textId="77777777" w:rsidR="007F5D93" w:rsidRPr="007F5D93" w:rsidRDefault="007F5D93" w:rsidP="00B4587A">
            <w:pPr>
              <w:pStyle w:val="NoSpacing"/>
              <w:jc w:val="center"/>
              <w:rPr>
                <w:rFonts w:ascii="Helvetica" w:hAnsi="Helvetica" w:cs="Helvetica"/>
                <w:b/>
                <w:sz w:val="16"/>
              </w:rPr>
            </w:pPr>
          </w:p>
        </w:tc>
        <w:tc>
          <w:tcPr>
            <w:tcW w:w="3418" w:type="dxa"/>
            <w:gridSpan w:val="2"/>
            <w:shd w:val="clear" w:color="auto" w:fill="E7E6E6" w:themeFill="background2"/>
            <w:vAlign w:val="center"/>
          </w:tcPr>
          <w:p w14:paraId="05884197"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Monitoring and Accountability</w:t>
            </w:r>
          </w:p>
        </w:tc>
        <w:tc>
          <w:tcPr>
            <w:tcW w:w="4772" w:type="dxa"/>
            <w:gridSpan w:val="3"/>
            <w:shd w:val="clear" w:color="auto" w:fill="E7E6E6" w:themeFill="background2"/>
          </w:tcPr>
          <w:p w14:paraId="5748F287"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Strength of monitoring and accountability</w:t>
            </w:r>
          </w:p>
        </w:tc>
        <w:tc>
          <w:tcPr>
            <w:tcW w:w="810" w:type="dxa"/>
            <w:shd w:val="clear" w:color="auto" w:fill="E7E6E6" w:themeFill="background2"/>
          </w:tcPr>
          <w:p w14:paraId="248D197C"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84</w:t>
            </w:r>
          </w:p>
        </w:tc>
      </w:tr>
      <w:tr w:rsidR="007F5D93" w:rsidRPr="007F5D93" w14:paraId="7DE5C2E3" w14:textId="77777777" w:rsidTr="00B04DD4">
        <w:trPr>
          <w:trHeight w:val="20"/>
        </w:trPr>
        <w:tc>
          <w:tcPr>
            <w:tcW w:w="810" w:type="dxa"/>
            <w:vMerge/>
            <w:shd w:val="clear" w:color="auto" w:fill="AF1F2C"/>
          </w:tcPr>
          <w:p w14:paraId="20F85D82" w14:textId="77777777" w:rsidR="007F5D93" w:rsidRPr="007F5D93" w:rsidRDefault="007F5D93" w:rsidP="00B4587A">
            <w:pPr>
              <w:pStyle w:val="NoSpacing"/>
              <w:jc w:val="center"/>
              <w:rPr>
                <w:rFonts w:ascii="Helvetica" w:hAnsi="Helvetica" w:cs="Helvetica"/>
                <w:b/>
                <w:sz w:val="16"/>
              </w:rPr>
            </w:pPr>
          </w:p>
        </w:tc>
        <w:tc>
          <w:tcPr>
            <w:tcW w:w="3418" w:type="dxa"/>
            <w:gridSpan w:val="2"/>
            <w:shd w:val="clear" w:color="auto" w:fill="auto"/>
            <w:vAlign w:val="center"/>
          </w:tcPr>
          <w:p w14:paraId="7327FDFE"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National Normative Framework</w:t>
            </w:r>
          </w:p>
        </w:tc>
        <w:tc>
          <w:tcPr>
            <w:tcW w:w="4772" w:type="dxa"/>
            <w:gridSpan w:val="3"/>
            <w:shd w:val="clear" w:color="auto" w:fill="auto"/>
          </w:tcPr>
          <w:p w14:paraId="6047FB33"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National Normative Framework</w:t>
            </w:r>
          </w:p>
        </w:tc>
        <w:tc>
          <w:tcPr>
            <w:tcW w:w="810" w:type="dxa"/>
            <w:shd w:val="clear" w:color="auto" w:fill="auto"/>
          </w:tcPr>
          <w:p w14:paraId="447CAC2B"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81</w:t>
            </w:r>
          </w:p>
        </w:tc>
      </w:tr>
      <w:tr w:rsidR="007F5D93" w:rsidRPr="007F5D93" w14:paraId="62F90E0C" w14:textId="77777777" w:rsidTr="00B04DD4">
        <w:trPr>
          <w:trHeight w:val="20"/>
        </w:trPr>
        <w:tc>
          <w:tcPr>
            <w:tcW w:w="810" w:type="dxa"/>
            <w:vMerge/>
            <w:shd w:val="clear" w:color="auto" w:fill="AF1F2C"/>
          </w:tcPr>
          <w:p w14:paraId="7272736D" w14:textId="77777777" w:rsidR="007F5D93" w:rsidRPr="007F5D93" w:rsidRDefault="007F5D93" w:rsidP="00B4587A">
            <w:pPr>
              <w:pStyle w:val="NoSpacing"/>
              <w:jc w:val="center"/>
              <w:rPr>
                <w:rFonts w:ascii="Helvetica" w:hAnsi="Helvetica" w:cs="Helvetica"/>
                <w:b/>
                <w:sz w:val="16"/>
              </w:rPr>
            </w:pPr>
          </w:p>
        </w:tc>
        <w:tc>
          <w:tcPr>
            <w:tcW w:w="3418" w:type="dxa"/>
            <w:gridSpan w:val="2"/>
            <w:vMerge w:val="restart"/>
            <w:shd w:val="clear" w:color="auto" w:fill="E7E6E6" w:themeFill="background2"/>
            <w:vAlign w:val="center"/>
            <w:hideMark/>
          </w:tcPr>
          <w:p w14:paraId="2BC30B45"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szCs w:val="16"/>
              </w:rPr>
              <w:t>Direct and Indirect Costs</w:t>
            </w:r>
          </w:p>
        </w:tc>
        <w:tc>
          <w:tcPr>
            <w:tcW w:w="4772" w:type="dxa"/>
            <w:gridSpan w:val="3"/>
            <w:shd w:val="clear" w:color="auto" w:fill="E7E6E6" w:themeFill="background2"/>
          </w:tcPr>
          <w:p w14:paraId="7494147B"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szCs w:val="16"/>
              </w:rPr>
              <w:t xml:space="preserve">Legal restrictions </w:t>
            </w:r>
          </w:p>
        </w:tc>
        <w:tc>
          <w:tcPr>
            <w:tcW w:w="810" w:type="dxa"/>
            <w:shd w:val="clear" w:color="auto" w:fill="E7E6E6" w:themeFill="background2"/>
          </w:tcPr>
          <w:p w14:paraId="6FE29849"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50</w:t>
            </w:r>
          </w:p>
        </w:tc>
      </w:tr>
      <w:tr w:rsidR="007F5D93" w:rsidRPr="007F5D93" w14:paraId="771850F3" w14:textId="77777777" w:rsidTr="00B04DD4">
        <w:trPr>
          <w:trHeight w:val="20"/>
        </w:trPr>
        <w:tc>
          <w:tcPr>
            <w:tcW w:w="810" w:type="dxa"/>
            <w:vMerge/>
            <w:shd w:val="clear" w:color="auto" w:fill="AF1F2C"/>
          </w:tcPr>
          <w:p w14:paraId="079CC0FF"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E7E6E6" w:themeFill="background2"/>
            <w:vAlign w:val="center"/>
            <w:hideMark/>
          </w:tcPr>
          <w:p w14:paraId="23A4B9ED"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E7E6E6" w:themeFill="background2"/>
          </w:tcPr>
          <w:p w14:paraId="017D70EC"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szCs w:val="16"/>
              </w:rPr>
              <w:t>Practice environment</w:t>
            </w:r>
          </w:p>
        </w:tc>
        <w:tc>
          <w:tcPr>
            <w:tcW w:w="810" w:type="dxa"/>
            <w:shd w:val="clear" w:color="auto" w:fill="E7E6E6" w:themeFill="background2"/>
          </w:tcPr>
          <w:p w14:paraId="4461CD93"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75</w:t>
            </w:r>
          </w:p>
        </w:tc>
      </w:tr>
      <w:tr w:rsidR="007F5D93" w:rsidRPr="007F5D93" w14:paraId="6B7EF16C" w14:textId="77777777" w:rsidTr="00B04DD4">
        <w:trPr>
          <w:trHeight w:val="20"/>
        </w:trPr>
        <w:tc>
          <w:tcPr>
            <w:tcW w:w="810" w:type="dxa"/>
            <w:vMerge/>
            <w:shd w:val="clear" w:color="auto" w:fill="AF1F2C"/>
          </w:tcPr>
          <w:p w14:paraId="7AE669B1" w14:textId="77777777" w:rsidR="007F5D93" w:rsidRPr="007F5D93" w:rsidRDefault="007F5D93" w:rsidP="00B4587A">
            <w:pPr>
              <w:pStyle w:val="NoSpacing"/>
              <w:jc w:val="center"/>
              <w:rPr>
                <w:rFonts w:ascii="Helvetica" w:hAnsi="Helvetica" w:cs="Helvetica"/>
                <w:b/>
                <w:sz w:val="16"/>
              </w:rPr>
            </w:pPr>
          </w:p>
        </w:tc>
        <w:tc>
          <w:tcPr>
            <w:tcW w:w="3418" w:type="dxa"/>
            <w:gridSpan w:val="2"/>
            <w:shd w:val="clear" w:color="auto" w:fill="D9D9D9" w:themeFill="background1" w:themeFillShade="D9"/>
            <w:vAlign w:val="center"/>
          </w:tcPr>
          <w:p w14:paraId="7471AF66"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Private education</w:t>
            </w:r>
          </w:p>
        </w:tc>
        <w:tc>
          <w:tcPr>
            <w:tcW w:w="4772" w:type="dxa"/>
            <w:gridSpan w:val="3"/>
            <w:shd w:val="clear" w:color="auto" w:fill="D9D9D9" w:themeFill="background1" w:themeFillShade="D9"/>
          </w:tcPr>
          <w:p w14:paraId="4862BEE3"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Status of private education</w:t>
            </w:r>
          </w:p>
        </w:tc>
        <w:tc>
          <w:tcPr>
            <w:tcW w:w="810" w:type="dxa"/>
            <w:shd w:val="clear" w:color="auto" w:fill="D9D9D9" w:themeFill="background1" w:themeFillShade="D9"/>
          </w:tcPr>
          <w:p w14:paraId="0F41D46C"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80</w:t>
            </w:r>
          </w:p>
        </w:tc>
      </w:tr>
      <w:tr w:rsidR="007F5D93" w:rsidRPr="007F5D93" w14:paraId="6A8CC48D" w14:textId="77777777" w:rsidTr="00B04DD4">
        <w:trPr>
          <w:trHeight w:val="20"/>
        </w:trPr>
        <w:tc>
          <w:tcPr>
            <w:tcW w:w="810" w:type="dxa"/>
            <w:vMerge/>
            <w:shd w:val="clear" w:color="auto" w:fill="AF1F2C"/>
          </w:tcPr>
          <w:p w14:paraId="0000B34D" w14:textId="77777777" w:rsidR="007F5D93" w:rsidRPr="007F5D93" w:rsidRDefault="007F5D93" w:rsidP="00B4587A">
            <w:pPr>
              <w:pStyle w:val="NoSpacing"/>
              <w:jc w:val="center"/>
              <w:rPr>
                <w:rFonts w:ascii="Helvetica" w:hAnsi="Helvetica" w:cs="Helvetica"/>
                <w:b/>
                <w:sz w:val="16"/>
              </w:rPr>
            </w:pPr>
          </w:p>
        </w:tc>
        <w:tc>
          <w:tcPr>
            <w:tcW w:w="3418" w:type="dxa"/>
            <w:gridSpan w:val="2"/>
            <w:shd w:val="clear" w:color="auto" w:fill="E7E6E6" w:themeFill="background2"/>
            <w:vAlign w:val="center"/>
          </w:tcPr>
          <w:p w14:paraId="35EB3637"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Regional disparities</w:t>
            </w:r>
          </w:p>
        </w:tc>
        <w:tc>
          <w:tcPr>
            <w:tcW w:w="990" w:type="dxa"/>
            <w:shd w:val="clear" w:color="auto" w:fill="E7E6E6" w:themeFill="background2"/>
          </w:tcPr>
          <w:p w14:paraId="1B8B9A06" w14:textId="77777777" w:rsidR="007F5D93" w:rsidRPr="007F5D93" w:rsidRDefault="007F5D93" w:rsidP="00B4587A">
            <w:pPr>
              <w:pStyle w:val="NoSpacing"/>
              <w:rPr>
                <w:rFonts w:ascii="Helvetica" w:hAnsi="Helvetica" w:cs="Helvetica"/>
                <w:sz w:val="16"/>
              </w:rPr>
            </w:pPr>
          </w:p>
        </w:tc>
        <w:tc>
          <w:tcPr>
            <w:tcW w:w="270" w:type="dxa"/>
            <w:shd w:val="clear" w:color="auto" w:fill="E7E6E6" w:themeFill="background2"/>
            <w:vAlign w:val="center"/>
          </w:tcPr>
          <w:p w14:paraId="55A0A8BA" w14:textId="77777777" w:rsidR="007F5D93" w:rsidRPr="007F5D93" w:rsidRDefault="007F5D93" w:rsidP="00B4587A">
            <w:pPr>
              <w:pStyle w:val="NoSpacing"/>
              <w:rPr>
                <w:rFonts w:ascii="Helvetica" w:hAnsi="Helvetica" w:cs="Helvetica"/>
                <w:sz w:val="16"/>
              </w:rPr>
            </w:pPr>
          </w:p>
        </w:tc>
        <w:tc>
          <w:tcPr>
            <w:tcW w:w="3512" w:type="dxa"/>
            <w:shd w:val="clear" w:color="auto" w:fill="E7E6E6" w:themeFill="background2"/>
            <w:vAlign w:val="center"/>
          </w:tcPr>
          <w:p w14:paraId="0F75CB87" w14:textId="77777777" w:rsidR="007F5D93" w:rsidRPr="007F5D93" w:rsidRDefault="007F5D93" w:rsidP="00B4587A">
            <w:pPr>
              <w:pStyle w:val="NoSpacing"/>
              <w:rPr>
                <w:rFonts w:ascii="Helvetica" w:hAnsi="Helvetica" w:cs="Helvetica"/>
                <w:sz w:val="16"/>
              </w:rPr>
            </w:pPr>
          </w:p>
        </w:tc>
        <w:tc>
          <w:tcPr>
            <w:tcW w:w="810" w:type="dxa"/>
            <w:shd w:val="clear" w:color="auto" w:fill="E7E6E6" w:themeFill="background2"/>
          </w:tcPr>
          <w:p w14:paraId="350DB95C" w14:textId="5C7E5662" w:rsidR="007F5D93" w:rsidRPr="007F5D93" w:rsidRDefault="00B04DD4" w:rsidP="00B4587A">
            <w:pPr>
              <w:pStyle w:val="NoSpacing"/>
              <w:jc w:val="right"/>
              <w:rPr>
                <w:rFonts w:ascii="Helvetica" w:hAnsi="Helvetica" w:cs="Helvetica"/>
                <w:b/>
                <w:sz w:val="16"/>
              </w:rPr>
            </w:pPr>
            <w:r>
              <w:rPr>
                <w:rFonts w:ascii="Helvetica" w:hAnsi="Helvetica" w:cs="Helvetica"/>
                <w:b/>
                <w:sz w:val="16"/>
              </w:rPr>
              <w:t>No data</w:t>
            </w:r>
          </w:p>
        </w:tc>
      </w:tr>
      <w:tr w:rsidR="007F5D93" w:rsidRPr="007F5D93" w14:paraId="100CA2A4" w14:textId="77777777" w:rsidTr="00B04DD4">
        <w:trPr>
          <w:trHeight w:val="20"/>
        </w:trPr>
        <w:tc>
          <w:tcPr>
            <w:tcW w:w="810" w:type="dxa"/>
            <w:vMerge/>
            <w:shd w:val="clear" w:color="auto" w:fill="AF1F2C"/>
          </w:tcPr>
          <w:p w14:paraId="355D5606" w14:textId="77777777" w:rsidR="007F5D93" w:rsidRPr="007F5D93" w:rsidRDefault="007F5D93" w:rsidP="00B4587A">
            <w:pPr>
              <w:pStyle w:val="NoSpacing"/>
              <w:jc w:val="center"/>
              <w:rPr>
                <w:rFonts w:ascii="Helvetica" w:hAnsi="Helvetica" w:cs="Helvetica"/>
                <w:b/>
                <w:sz w:val="16"/>
              </w:rPr>
            </w:pPr>
          </w:p>
        </w:tc>
        <w:tc>
          <w:tcPr>
            <w:tcW w:w="3418" w:type="dxa"/>
            <w:gridSpan w:val="2"/>
            <w:vMerge w:val="restart"/>
            <w:shd w:val="clear" w:color="auto" w:fill="D9D9D9" w:themeFill="background1" w:themeFillShade="D9"/>
            <w:vAlign w:val="center"/>
          </w:tcPr>
          <w:p w14:paraId="58BA073C"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SDG 4</w:t>
            </w:r>
          </w:p>
        </w:tc>
        <w:tc>
          <w:tcPr>
            <w:tcW w:w="4772" w:type="dxa"/>
            <w:gridSpan w:val="3"/>
            <w:shd w:val="clear" w:color="auto" w:fill="D9D9D9" w:themeFill="background1" w:themeFillShade="D9"/>
          </w:tcPr>
          <w:p w14:paraId="73B46794"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4.1 Free and equitable</w:t>
            </w:r>
          </w:p>
        </w:tc>
        <w:tc>
          <w:tcPr>
            <w:tcW w:w="810" w:type="dxa"/>
            <w:shd w:val="clear" w:color="auto" w:fill="D9D9D9" w:themeFill="background1" w:themeFillShade="D9"/>
          </w:tcPr>
          <w:p w14:paraId="6AF69059" w14:textId="1B278ABA" w:rsidR="007F5D93" w:rsidRPr="007F5D93" w:rsidRDefault="00B04DD4" w:rsidP="00B4587A">
            <w:pPr>
              <w:pStyle w:val="NoSpacing"/>
              <w:jc w:val="right"/>
              <w:rPr>
                <w:rFonts w:ascii="Helvetica" w:hAnsi="Helvetica" w:cs="Helvetica"/>
                <w:b/>
                <w:sz w:val="16"/>
              </w:rPr>
            </w:pPr>
            <w:r>
              <w:rPr>
                <w:rFonts w:ascii="Helvetica" w:hAnsi="Helvetica" w:cs="Helvetica"/>
                <w:b/>
                <w:sz w:val="16"/>
              </w:rPr>
              <w:t>62</w:t>
            </w:r>
          </w:p>
        </w:tc>
      </w:tr>
      <w:tr w:rsidR="007F5D93" w:rsidRPr="007F5D93" w14:paraId="4F57FE12" w14:textId="77777777" w:rsidTr="00B04DD4">
        <w:trPr>
          <w:trHeight w:val="20"/>
        </w:trPr>
        <w:tc>
          <w:tcPr>
            <w:tcW w:w="810" w:type="dxa"/>
            <w:vMerge/>
            <w:shd w:val="clear" w:color="auto" w:fill="AF1F2C"/>
          </w:tcPr>
          <w:p w14:paraId="4FC82E3E"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D9D9D9" w:themeFill="background1" w:themeFillShade="D9"/>
            <w:vAlign w:val="center"/>
          </w:tcPr>
          <w:p w14:paraId="4DA2D0FF"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D9D9D9" w:themeFill="background1" w:themeFillShade="D9"/>
          </w:tcPr>
          <w:p w14:paraId="7A38A39F"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4.3 Beyond K-12</w:t>
            </w:r>
          </w:p>
        </w:tc>
        <w:tc>
          <w:tcPr>
            <w:tcW w:w="810" w:type="dxa"/>
            <w:shd w:val="clear" w:color="auto" w:fill="D9D9D9" w:themeFill="background1" w:themeFillShade="D9"/>
          </w:tcPr>
          <w:p w14:paraId="69E9F48F"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70</w:t>
            </w:r>
          </w:p>
        </w:tc>
      </w:tr>
      <w:tr w:rsidR="007F5D93" w:rsidRPr="007F5D93" w14:paraId="5FF3C613" w14:textId="77777777" w:rsidTr="00B04DD4">
        <w:trPr>
          <w:trHeight w:val="20"/>
        </w:trPr>
        <w:tc>
          <w:tcPr>
            <w:tcW w:w="810" w:type="dxa"/>
            <w:vMerge/>
            <w:shd w:val="clear" w:color="auto" w:fill="AF1F2C"/>
          </w:tcPr>
          <w:p w14:paraId="7DBAD67F"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D9D9D9" w:themeFill="background1" w:themeFillShade="D9"/>
            <w:vAlign w:val="center"/>
          </w:tcPr>
          <w:p w14:paraId="03C3BDCD"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D9D9D9" w:themeFill="background1" w:themeFillShade="D9"/>
          </w:tcPr>
          <w:p w14:paraId="07551819"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4.5 Inequality and inaccessibility</w:t>
            </w:r>
          </w:p>
        </w:tc>
        <w:tc>
          <w:tcPr>
            <w:tcW w:w="810" w:type="dxa"/>
            <w:shd w:val="clear" w:color="auto" w:fill="D9D9D9" w:themeFill="background1" w:themeFillShade="D9"/>
          </w:tcPr>
          <w:p w14:paraId="668A3A84"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93</w:t>
            </w:r>
          </w:p>
        </w:tc>
      </w:tr>
      <w:tr w:rsidR="007F5D93" w:rsidRPr="007F5D93" w14:paraId="6A74412F" w14:textId="77777777" w:rsidTr="00B04DD4">
        <w:trPr>
          <w:trHeight w:val="20"/>
        </w:trPr>
        <w:tc>
          <w:tcPr>
            <w:tcW w:w="810" w:type="dxa"/>
            <w:vMerge/>
            <w:shd w:val="clear" w:color="auto" w:fill="AF1F2C"/>
          </w:tcPr>
          <w:p w14:paraId="2602A4DD"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D9D9D9" w:themeFill="background1" w:themeFillShade="D9"/>
            <w:vAlign w:val="center"/>
          </w:tcPr>
          <w:p w14:paraId="4E7B8395"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D9D9D9" w:themeFill="background1" w:themeFillShade="D9"/>
          </w:tcPr>
          <w:p w14:paraId="7373C80A"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4.6 Adult literacy and lifelong learning</w:t>
            </w:r>
          </w:p>
        </w:tc>
        <w:tc>
          <w:tcPr>
            <w:tcW w:w="810" w:type="dxa"/>
            <w:shd w:val="clear" w:color="auto" w:fill="D9D9D9" w:themeFill="background1" w:themeFillShade="D9"/>
          </w:tcPr>
          <w:p w14:paraId="3BCE0A77"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90</w:t>
            </w:r>
          </w:p>
        </w:tc>
      </w:tr>
      <w:tr w:rsidR="007F5D93" w:rsidRPr="007F5D93" w14:paraId="0E20D282" w14:textId="77777777" w:rsidTr="00B04DD4">
        <w:trPr>
          <w:trHeight w:val="20"/>
        </w:trPr>
        <w:tc>
          <w:tcPr>
            <w:tcW w:w="810" w:type="dxa"/>
            <w:vMerge/>
            <w:shd w:val="clear" w:color="auto" w:fill="AF1F2C"/>
          </w:tcPr>
          <w:p w14:paraId="08F58CA2"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D9D9D9" w:themeFill="background1" w:themeFillShade="D9"/>
            <w:vAlign w:val="center"/>
          </w:tcPr>
          <w:p w14:paraId="4F20CD2F"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D9D9D9" w:themeFill="background1" w:themeFillShade="D9"/>
          </w:tcPr>
          <w:p w14:paraId="386C75F7"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4.7 Sustainability</w:t>
            </w:r>
          </w:p>
        </w:tc>
        <w:tc>
          <w:tcPr>
            <w:tcW w:w="810" w:type="dxa"/>
            <w:shd w:val="clear" w:color="auto" w:fill="D9D9D9" w:themeFill="background1" w:themeFillShade="D9"/>
          </w:tcPr>
          <w:p w14:paraId="33F6622B"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71</w:t>
            </w:r>
          </w:p>
        </w:tc>
      </w:tr>
      <w:tr w:rsidR="007F5D93" w:rsidRPr="007F5D93" w14:paraId="7976EBEA" w14:textId="77777777" w:rsidTr="00B04DD4">
        <w:trPr>
          <w:trHeight w:val="20"/>
        </w:trPr>
        <w:tc>
          <w:tcPr>
            <w:tcW w:w="810" w:type="dxa"/>
            <w:vMerge/>
            <w:shd w:val="clear" w:color="auto" w:fill="AF1F2C"/>
          </w:tcPr>
          <w:p w14:paraId="1C387243"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D9D9D9" w:themeFill="background1" w:themeFillShade="D9"/>
            <w:vAlign w:val="center"/>
          </w:tcPr>
          <w:p w14:paraId="3C842E2F"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D9D9D9" w:themeFill="background1" w:themeFillShade="D9"/>
          </w:tcPr>
          <w:p w14:paraId="35ECA39B"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4.a Safe learning environment</w:t>
            </w:r>
          </w:p>
        </w:tc>
        <w:tc>
          <w:tcPr>
            <w:tcW w:w="810" w:type="dxa"/>
            <w:shd w:val="clear" w:color="auto" w:fill="D9D9D9" w:themeFill="background1" w:themeFillShade="D9"/>
          </w:tcPr>
          <w:p w14:paraId="524D45AD"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100</w:t>
            </w:r>
          </w:p>
        </w:tc>
      </w:tr>
      <w:tr w:rsidR="007F5D93" w:rsidRPr="007F5D93" w14:paraId="3C4173AF" w14:textId="77777777" w:rsidTr="00B04DD4">
        <w:trPr>
          <w:trHeight w:val="20"/>
        </w:trPr>
        <w:tc>
          <w:tcPr>
            <w:tcW w:w="810" w:type="dxa"/>
            <w:vMerge/>
            <w:shd w:val="clear" w:color="auto" w:fill="AF1F2C"/>
          </w:tcPr>
          <w:p w14:paraId="624569B1"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D9D9D9" w:themeFill="background1" w:themeFillShade="D9"/>
            <w:vAlign w:val="center"/>
          </w:tcPr>
          <w:p w14:paraId="1BF4848B"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D9D9D9" w:themeFill="background1" w:themeFillShade="D9"/>
          </w:tcPr>
          <w:p w14:paraId="0E8D88CA"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4.c Qualified teachers</w:t>
            </w:r>
          </w:p>
        </w:tc>
        <w:tc>
          <w:tcPr>
            <w:tcW w:w="810" w:type="dxa"/>
            <w:shd w:val="clear" w:color="auto" w:fill="D9D9D9" w:themeFill="background1" w:themeFillShade="D9"/>
          </w:tcPr>
          <w:p w14:paraId="66C55B03"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66</w:t>
            </w:r>
          </w:p>
        </w:tc>
      </w:tr>
      <w:tr w:rsidR="007F5D93" w:rsidRPr="007F5D93" w14:paraId="35C5B1AF" w14:textId="77777777" w:rsidTr="00B04DD4">
        <w:trPr>
          <w:trHeight w:val="20"/>
        </w:trPr>
        <w:tc>
          <w:tcPr>
            <w:tcW w:w="810" w:type="dxa"/>
            <w:vMerge/>
            <w:shd w:val="clear" w:color="auto" w:fill="AF1F2C"/>
          </w:tcPr>
          <w:p w14:paraId="35FFC223"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D9D9D9" w:themeFill="background1" w:themeFillShade="D9"/>
            <w:vAlign w:val="center"/>
          </w:tcPr>
          <w:p w14:paraId="2FC79015"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D9D9D9" w:themeFill="background1" w:themeFillShade="D9"/>
          </w:tcPr>
          <w:p w14:paraId="15EF4787"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 xml:space="preserve">Overall </w:t>
            </w:r>
          </w:p>
        </w:tc>
        <w:tc>
          <w:tcPr>
            <w:tcW w:w="810" w:type="dxa"/>
            <w:shd w:val="clear" w:color="auto" w:fill="D9D9D9" w:themeFill="background1" w:themeFillShade="D9"/>
          </w:tcPr>
          <w:p w14:paraId="1797CDFA"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79</w:t>
            </w:r>
          </w:p>
        </w:tc>
      </w:tr>
      <w:tr w:rsidR="007F5D93" w:rsidRPr="007F5D93" w14:paraId="4DE36A3D" w14:textId="77777777" w:rsidTr="00B04DD4">
        <w:trPr>
          <w:trHeight w:val="20"/>
        </w:trPr>
        <w:tc>
          <w:tcPr>
            <w:tcW w:w="810" w:type="dxa"/>
            <w:vMerge/>
            <w:shd w:val="clear" w:color="auto" w:fill="AF1F2C"/>
          </w:tcPr>
          <w:p w14:paraId="7C3E5373" w14:textId="77777777" w:rsidR="007F5D93" w:rsidRPr="007F5D93" w:rsidRDefault="007F5D93" w:rsidP="00B4587A">
            <w:pPr>
              <w:pStyle w:val="NoSpacing"/>
              <w:jc w:val="center"/>
              <w:rPr>
                <w:rFonts w:ascii="Helvetica" w:hAnsi="Helvetica" w:cs="Helvetica"/>
                <w:b/>
                <w:sz w:val="16"/>
              </w:rPr>
            </w:pPr>
          </w:p>
        </w:tc>
        <w:tc>
          <w:tcPr>
            <w:tcW w:w="3418" w:type="dxa"/>
            <w:gridSpan w:val="2"/>
            <w:vMerge w:val="restart"/>
            <w:shd w:val="clear" w:color="auto" w:fill="D9D9D9" w:themeFill="background1" w:themeFillShade="D9"/>
            <w:vAlign w:val="center"/>
            <w:hideMark/>
          </w:tcPr>
          <w:p w14:paraId="7E144A8D" w14:textId="77777777" w:rsidR="007F5D93" w:rsidRPr="007F5D93" w:rsidRDefault="007F5D93" w:rsidP="00B4587A">
            <w:pPr>
              <w:pStyle w:val="NoSpacing"/>
              <w:rPr>
                <w:rFonts w:ascii="Helvetica" w:hAnsi="Helvetica" w:cs="Helvetica"/>
                <w:b/>
                <w:sz w:val="16"/>
              </w:rPr>
            </w:pPr>
            <w:r w:rsidRPr="007F5D93">
              <w:rPr>
                <w:rFonts w:ascii="Helvetica" w:hAnsi="Helvetica" w:cs="Helvetica"/>
                <w:b/>
                <w:sz w:val="16"/>
              </w:rPr>
              <w:t>Teachers</w:t>
            </w:r>
          </w:p>
        </w:tc>
        <w:tc>
          <w:tcPr>
            <w:tcW w:w="4772" w:type="dxa"/>
            <w:gridSpan w:val="3"/>
            <w:shd w:val="clear" w:color="auto" w:fill="D9D9D9" w:themeFill="background1" w:themeFillShade="D9"/>
          </w:tcPr>
          <w:p w14:paraId="6B7CF317"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Effect of teaching</w:t>
            </w:r>
          </w:p>
        </w:tc>
        <w:tc>
          <w:tcPr>
            <w:tcW w:w="810" w:type="dxa"/>
            <w:shd w:val="clear" w:color="auto" w:fill="D9D9D9" w:themeFill="background1" w:themeFillShade="D9"/>
          </w:tcPr>
          <w:p w14:paraId="33869A8A"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100</w:t>
            </w:r>
          </w:p>
        </w:tc>
      </w:tr>
      <w:tr w:rsidR="007F5D93" w:rsidRPr="007F5D93" w14:paraId="42E1DA2C" w14:textId="77777777" w:rsidTr="00B04DD4">
        <w:trPr>
          <w:trHeight w:val="20"/>
        </w:trPr>
        <w:tc>
          <w:tcPr>
            <w:tcW w:w="810" w:type="dxa"/>
            <w:vMerge/>
            <w:shd w:val="clear" w:color="auto" w:fill="AF1F2C"/>
          </w:tcPr>
          <w:p w14:paraId="286F724A"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D9D9D9" w:themeFill="background1" w:themeFillShade="D9"/>
            <w:vAlign w:val="center"/>
          </w:tcPr>
          <w:p w14:paraId="56804956"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D9D9D9" w:themeFill="background1" w:themeFillShade="D9"/>
          </w:tcPr>
          <w:p w14:paraId="128A5AE3"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Content of teacher training</w:t>
            </w:r>
          </w:p>
        </w:tc>
        <w:tc>
          <w:tcPr>
            <w:tcW w:w="810" w:type="dxa"/>
            <w:shd w:val="clear" w:color="auto" w:fill="D9D9D9" w:themeFill="background1" w:themeFillShade="D9"/>
          </w:tcPr>
          <w:p w14:paraId="60CD667E"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100</w:t>
            </w:r>
          </w:p>
        </w:tc>
      </w:tr>
      <w:tr w:rsidR="007F5D93" w:rsidRPr="007F5D93" w14:paraId="5AFD7D9B" w14:textId="77777777" w:rsidTr="00B04DD4">
        <w:trPr>
          <w:trHeight w:val="20"/>
        </w:trPr>
        <w:tc>
          <w:tcPr>
            <w:tcW w:w="810" w:type="dxa"/>
            <w:vMerge/>
            <w:shd w:val="clear" w:color="auto" w:fill="AF1F2C"/>
          </w:tcPr>
          <w:p w14:paraId="6D7BA120" w14:textId="77777777" w:rsidR="007F5D93" w:rsidRPr="007F5D93" w:rsidRDefault="007F5D93" w:rsidP="00B4587A">
            <w:pPr>
              <w:pStyle w:val="NoSpacing"/>
              <w:jc w:val="center"/>
              <w:rPr>
                <w:rFonts w:ascii="Helvetica" w:hAnsi="Helvetica" w:cs="Helvetica"/>
                <w:b/>
                <w:sz w:val="16"/>
              </w:rPr>
            </w:pPr>
          </w:p>
        </w:tc>
        <w:tc>
          <w:tcPr>
            <w:tcW w:w="3418" w:type="dxa"/>
            <w:gridSpan w:val="2"/>
            <w:vMerge/>
            <w:shd w:val="clear" w:color="auto" w:fill="D9D9D9" w:themeFill="background1" w:themeFillShade="D9"/>
            <w:vAlign w:val="center"/>
          </w:tcPr>
          <w:p w14:paraId="3AE12BFB" w14:textId="77777777" w:rsidR="007F5D93" w:rsidRPr="007F5D93" w:rsidRDefault="007F5D93" w:rsidP="00B4587A">
            <w:pPr>
              <w:pStyle w:val="NoSpacing"/>
              <w:rPr>
                <w:rFonts w:ascii="Helvetica" w:hAnsi="Helvetica" w:cs="Helvetica"/>
                <w:b/>
                <w:sz w:val="16"/>
              </w:rPr>
            </w:pPr>
          </w:p>
        </w:tc>
        <w:tc>
          <w:tcPr>
            <w:tcW w:w="4772" w:type="dxa"/>
            <w:gridSpan w:val="3"/>
            <w:shd w:val="clear" w:color="auto" w:fill="D9D9D9" w:themeFill="background1" w:themeFillShade="D9"/>
          </w:tcPr>
          <w:p w14:paraId="6B6110A0" w14:textId="77777777" w:rsidR="007F5D93" w:rsidRPr="007F5D93" w:rsidRDefault="007F5D93" w:rsidP="00B4587A">
            <w:pPr>
              <w:pStyle w:val="NoSpacing"/>
              <w:rPr>
                <w:rFonts w:ascii="Helvetica" w:hAnsi="Helvetica" w:cs="Helvetica"/>
                <w:sz w:val="16"/>
              </w:rPr>
            </w:pPr>
            <w:r w:rsidRPr="007F5D93">
              <w:rPr>
                <w:rFonts w:ascii="Helvetica" w:hAnsi="Helvetica" w:cs="Helvetica"/>
                <w:sz w:val="16"/>
              </w:rPr>
              <w:t>Overall teaching framework</w:t>
            </w:r>
          </w:p>
        </w:tc>
        <w:tc>
          <w:tcPr>
            <w:tcW w:w="810" w:type="dxa"/>
            <w:shd w:val="clear" w:color="auto" w:fill="D9D9D9" w:themeFill="background1" w:themeFillShade="D9"/>
          </w:tcPr>
          <w:p w14:paraId="05C7BF2B" w14:textId="77777777" w:rsidR="007F5D93" w:rsidRPr="007F5D93" w:rsidRDefault="007F5D93" w:rsidP="00B4587A">
            <w:pPr>
              <w:pStyle w:val="NoSpacing"/>
              <w:jc w:val="right"/>
              <w:rPr>
                <w:rFonts w:ascii="Helvetica" w:hAnsi="Helvetica" w:cs="Helvetica"/>
                <w:b/>
                <w:sz w:val="16"/>
              </w:rPr>
            </w:pPr>
            <w:r w:rsidRPr="007F5D93">
              <w:rPr>
                <w:rFonts w:ascii="Helvetica" w:hAnsi="Helvetica" w:cs="Helvetica"/>
                <w:b/>
                <w:sz w:val="16"/>
              </w:rPr>
              <w:t>94</w:t>
            </w:r>
          </w:p>
        </w:tc>
      </w:tr>
      <w:tr w:rsidR="007F5D93" w:rsidRPr="007F5D93" w14:paraId="0C16B940" w14:textId="77777777" w:rsidTr="00B04DD4">
        <w:trPr>
          <w:trHeight w:val="20"/>
        </w:trPr>
        <w:tc>
          <w:tcPr>
            <w:tcW w:w="810" w:type="dxa"/>
            <w:shd w:val="clear" w:color="auto" w:fill="auto"/>
          </w:tcPr>
          <w:p w14:paraId="49C88ADC" w14:textId="77777777" w:rsidR="007F5D93" w:rsidRPr="007F5D93" w:rsidRDefault="007F5D93" w:rsidP="00B4587A">
            <w:pPr>
              <w:pStyle w:val="NoSpacing"/>
              <w:jc w:val="center"/>
              <w:rPr>
                <w:rFonts w:ascii="Helvetica" w:hAnsi="Helvetica" w:cs="Helvetica"/>
                <w:b/>
                <w:sz w:val="16"/>
              </w:rPr>
            </w:pPr>
          </w:p>
        </w:tc>
        <w:tc>
          <w:tcPr>
            <w:tcW w:w="3418" w:type="dxa"/>
            <w:gridSpan w:val="2"/>
            <w:shd w:val="clear" w:color="auto" w:fill="auto"/>
            <w:vAlign w:val="center"/>
          </w:tcPr>
          <w:p w14:paraId="2D83F4D0" w14:textId="77777777" w:rsidR="007F5D93" w:rsidRPr="007F5D93" w:rsidRDefault="007F5D93" w:rsidP="00B4587A">
            <w:pPr>
              <w:pStyle w:val="NoSpacing"/>
              <w:jc w:val="center"/>
              <w:rPr>
                <w:rFonts w:ascii="Helvetica" w:hAnsi="Helvetica" w:cs="Helvetica"/>
                <w:b/>
                <w:sz w:val="16"/>
              </w:rPr>
            </w:pPr>
          </w:p>
        </w:tc>
        <w:tc>
          <w:tcPr>
            <w:tcW w:w="4772" w:type="dxa"/>
            <w:gridSpan w:val="3"/>
            <w:shd w:val="clear" w:color="auto" w:fill="auto"/>
          </w:tcPr>
          <w:p w14:paraId="3A538FB4" w14:textId="77777777" w:rsidR="007F5D93" w:rsidRPr="007F5D93" w:rsidRDefault="007F5D93" w:rsidP="00B4587A">
            <w:pPr>
              <w:pStyle w:val="NoSpacing"/>
              <w:rPr>
                <w:rFonts w:ascii="Helvetica" w:hAnsi="Helvetica" w:cs="Helvetica"/>
                <w:sz w:val="16"/>
              </w:rPr>
            </w:pPr>
          </w:p>
        </w:tc>
        <w:tc>
          <w:tcPr>
            <w:tcW w:w="810" w:type="dxa"/>
            <w:shd w:val="clear" w:color="auto" w:fill="auto"/>
          </w:tcPr>
          <w:p w14:paraId="32BCB273" w14:textId="77777777" w:rsidR="007F5D93" w:rsidRPr="007F5D93" w:rsidRDefault="007F5D93" w:rsidP="00B4587A">
            <w:pPr>
              <w:pStyle w:val="NoSpacing"/>
              <w:jc w:val="right"/>
              <w:rPr>
                <w:rFonts w:ascii="Helvetica" w:hAnsi="Helvetica" w:cs="Helvetica"/>
                <w:sz w:val="16"/>
              </w:rPr>
            </w:pPr>
          </w:p>
        </w:tc>
      </w:tr>
      <w:tr w:rsidR="007F5D93" w:rsidRPr="007F5D93" w14:paraId="0DBB3CE8" w14:textId="77777777" w:rsidTr="00B04DD4">
        <w:tblPrEx>
          <w:tblLook w:val="04A0" w:firstRow="1" w:lastRow="0" w:firstColumn="1" w:lastColumn="0" w:noHBand="0" w:noVBand="1"/>
        </w:tblPrEx>
        <w:trPr>
          <w:cantSplit/>
          <w:trHeight w:val="20"/>
        </w:trPr>
        <w:tc>
          <w:tcPr>
            <w:tcW w:w="810" w:type="dxa"/>
            <w:vMerge w:val="restart"/>
            <w:shd w:val="clear" w:color="auto" w:fill="AF1F2C"/>
            <w:textDirection w:val="btLr"/>
            <w:vAlign w:val="center"/>
          </w:tcPr>
          <w:p w14:paraId="0EA97D3A" w14:textId="6269B003" w:rsidR="007F5D93" w:rsidRPr="007F5D93" w:rsidRDefault="007F5D93" w:rsidP="00B4587A">
            <w:pPr>
              <w:tabs>
                <w:tab w:val="left" w:pos="2729"/>
              </w:tabs>
              <w:ind w:left="113" w:right="113"/>
              <w:jc w:val="center"/>
              <w:rPr>
                <w:rFonts w:ascii="Helvetica" w:hAnsi="Helvetica" w:cs="Helvetica"/>
                <w:sz w:val="16"/>
              </w:rPr>
            </w:pPr>
            <w:r w:rsidRPr="007F5D93">
              <w:rPr>
                <w:rFonts w:ascii="Helvetica" w:hAnsi="Helvetica" w:cs="Helvetica"/>
                <w:b/>
                <w:color w:val="FFFFFF" w:themeColor="background1"/>
                <w:sz w:val="16"/>
              </w:rPr>
              <w:t>Focus</w:t>
            </w:r>
            <w:r w:rsidR="00B04DD4">
              <w:rPr>
                <w:rFonts w:ascii="Helvetica" w:hAnsi="Helvetica" w:cs="Helvetica"/>
                <w:b/>
                <w:color w:val="FFFFFF" w:themeColor="background1"/>
                <w:sz w:val="16"/>
              </w:rPr>
              <w:t xml:space="preserve"> Areas</w:t>
            </w:r>
          </w:p>
          <w:p w14:paraId="1735C874" w14:textId="77777777" w:rsidR="007F5D93" w:rsidRPr="007F5D93" w:rsidRDefault="007F5D93" w:rsidP="00B4587A">
            <w:pPr>
              <w:tabs>
                <w:tab w:val="left" w:pos="2729"/>
              </w:tabs>
              <w:ind w:left="113" w:right="113"/>
              <w:jc w:val="center"/>
              <w:rPr>
                <w:rFonts w:ascii="Helvetica" w:hAnsi="Helvetica" w:cs="Helvetica"/>
                <w:b/>
                <w:color w:val="FFFFFF" w:themeColor="background1"/>
                <w:sz w:val="16"/>
              </w:rPr>
            </w:pPr>
          </w:p>
          <w:p w14:paraId="0557CE54" w14:textId="77777777" w:rsidR="007F5D93" w:rsidRPr="007F5D93" w:rsidRDefault="007F5D93" w:rsidP="00B4587A">
            <w:pPr>
              <w:tabs>
                <w:tab w:val="left" w:pos="2729"/>
              </w:tabs>
              <w:ind w:left="113" w:right="113"/>
              <w:jc w:val="center"/>
              <w:rPr>
                <w:rFonts w:ascii="Helvetica" w:hAnsi="Helvetica" w:cs="Helvetica"/>
                <w:sz w:val="16"/>
              </w:rPr>
            </w:pPr>
          </w:p>
        </w:tc>
        <w:tc>
          <w:tcPr>
            <w:tcW w:w="2339" w:type="dxa"/>
            <w:shd w:val="clear" w:color="auto" w:fill="E7E6E6" w:themeFill="background2"/>
          </w:tcPr>
          <w:p w14:paraId="14932B3C" w14:textId="77777777" w:rsidR="007F5D93" w:rsidRPr="007F5D93" w:rsidRDefault="007F5D93" w:rsidP="00B4587A">
            <w:pPr>
              <w:rPr>
                <w:rFonts w:ascii="Helvetica" w:hAnsi="Helvetica" w:cs="Helvetica"/>
                <w:sz w:val="16"/>
              </w:rPr>
            </w:pPr>
            <w:r w:rsidRPr="007F5D93">
              <w:rPr>
                <w:rFonts w:ascii="Helvetica" w:hAnsi="Helvetica" w:cs="Helvetica"/>
                <w:b/>
                <w:sz w:val="16"/>
              </w:rPr>
              <w:t>Theme</w:t>
            </w:r>
            <w:r w:rsidRPr="007F5D93">
              <w:rPr>
                <w:rFonts w:ascii="Helvetica" w:hAnsi="Helvetica" w:cs="Helvetica"/>
                <w:sz w:val="16"/>
              </w:rPr>
              <w:t>:</w:t>
            </w:r>
          </w:p>
        </w:tc>
        <w:tc>
          <w:tcPr>
            <w:tcW w:w="6661" w:type="dxa"/>
            <w:gridSpan w:val="5"/>
            <w:shd w:val="clear" w:color="auto" w:fill="E7E6E6" w:themeFill="background2"/>
          </w:tcPr>
          <w:p w14:paraId="6CEE518B" w14:textId="77777777" w:rsidR="007F5D93" w:rsidRPr="007F5D93" w:rsidRDefault="007F5D93" w:rsidP="00B4587A">
            <w:pPr>
              <w:rPr>
                <w:rFonts w:ascii="Helvetica" w:hAnsi="Helvetica" w:cs="Helvetica"/>
                <w:sz w:val="16"/>
              </w:rPr>
            </w:pPr>
            <w:r w:rsidRPr="007F5D93">
              <w:rPr>
                <w:rFonts w:ascii="Helvetica" w:hAnsi="Helvetica" w:cs="Helvetica"/>
                <w:sz w:val="16"/>
              </w:rPr>
              <w:t>Governance</w:t>
            </w:r>
          </w:p>
        </w:tc>
      </w:tr>
      <w:tr w:rsidR="007F5D93" w:rsidRPr="007F5D93" w14:paraId="609A6F6B" w14:textId="77777777" w:rsidTr="00B04DD4">
        <w:tblPrEx>
          <w:tblLook w:val="04A0" w:firstRow="1" w:lastRow="0" w:firstColumn="1" w:lastColumn="0" w:noHBand="0" w:noVBand="1"/>
        </w:tblPrEx>
        <w:trPr>
          <w:cantSplit/>
          <w:trHeight w:val="20"/>
        </w:trPr>
        <w:tc>
          <w:tcPr>
            <w:tcW w:w="810" w:type="dxa"/>
            <w:vMerge/>
            <w:shd w:val="clear" w:color="auto" w:fill="AF1F2C"/>
            <w:textDirection w:val="btLr"/>
            <w:vAlign w:val="center"/>
          </w:tcPr>
          <w:p w14:paraId="631C4A0D" w14:textId="77777777" w:rsidR="007F5D93" w:rsidRPr="007F5D93" w:rsidRDefault="007F5D93" w:rsidP="00B4587A">
            <w:pPr>
              <w:tabs>
                <w:tab w:val="left" w:pos="2729"/>
              </w:tabs>
              <w:ind w:left="113" w:right="113"/>
              <w:jc w:val="center"/>
              <w:rPr>
                <w:rFonts w:ascii="Helvetica" w:hAnsi="Helvetica" w:cs="Helvetica"/>
                <w:b/>
                <w:color w:val="FFFFFF" w:themeColor="background1"/>
                <w:sz w:val="16"/>
              </w:rPr>
            </w:pPr>
          </w:p>
        </w:tc>
        <w:tc>
          <w:tcPr>
            <w:tcW w:w="2339" w:type="dxa"/>
            <w:shd w:val="clear" w:color="auto" w:fill="E7E6E6" w:themeFill="background2"/>
          </w:tcPr>
          <w:p w14:paraId="4F51B049" w14:textId="77777777" w:rsidR="007F5D93" w:rsidRPr="007F5D93" w:rsidRDefault="007F5D93" w:rsidP="00B4587A">
            <w:pPr>
              <w:rPr>
                <w:rFonts w:ascii="Helvetica" w:hAnsi="Helvetica" w:cs="Helvetica"/>
                <w:b/>
                <w:sz w:val="16"/>
              </w:rPr>
            </w:pPr>
            <w:r w:rsidRPr="007F5D93">
              <w:rPr>
                <w:rFonts w:ascii="Helvetica" w:hAnsi="Helvetica" w:cs="Helvetica"/>
                <w:b/>
                <w:sz w:val="16"/>
              </w:rPr>
              <w:t>Subtheme:</w:t>
            </w:r>
          </w:p>
        </w:tc>
        <w:tc>
          <w:tcPr>
            <w:tcW w:w="6661" w:type="dxa"/>
            <w:gridSpan w:val="5"/>
            <w:shd w:val="clear" w:color="auto" w:fill="E7E6E6" w:themeFill="background2"/>
          </w:tcPr>
          <w:p w14:paraId="0BE4B903" w14:textId="77777777" w:rsidR="007F5D93" w:rsidRPr="007F5D93" w:rsidRDefault="007F5D93" w:rsidP="00B4587A">
            <w:pPr>
              <w:rPr>
                <w:rFonts w:ascii="Helvetica" w:hAnsi="Helvetica" w:cs="Helvetica"/>
                <w:b/>
                <w:sz w:val="16"/>
              </w:rPr>
            </w:pPr>
            <w:r w:rsidRPr="007F5D93">
              <w:rPr>
                <w:rFonts w:ascii="Helvetica" w:hAnsi="Helvetica" w:cs="Helvetica"/>
                <w:sz w:val="16"/>
              </w:rPr>
              <w:t>Learning Outcomes,</w:t>
            </w:r>
            <w:r w:rsidRPr="007F5D93">
              <w:rPr>
                <w:rFonts w:ascii="Helvetica" w:hAnsi="Helvetica" w:cs="Helvetica"/>
                <w:sz w:val="14"/>
              </w:rPr>
              <w:t xml:space="preserve"> </w:t>
            </w:r>
            <w:r w:rsidRPr="007F5D93">
              <w:rPr>
                <w:rFonts w:ascii="Helvetica" w:hAnsi="Helvetica" w:cs="Helvetica"/>
                <w:sz w:val="16"/>
              </w:rPr>
              <w:t>International Framework</w:t>
            </w:r>
          </w:p>
        </w:tc>
      </w:tr>
      <w:tr w:rsidR="007F5D93" w:rsidRPr="007F5D93" w14:paraId="484F57EF" w14:textId="77777777" w:rsidTr="00B04DD4">
        <w:tblPrEx>
          <w:tblLook w:val="04A0" w:firstRow="1" w:lastRow="0" w:firstColumn="1" w:lastColumn="0" w:noHBand="0" w:noVBand="1"/>
        </w:tblPrEx>
        <w:trPr>
          <w:cantSplit/>
          <w:trHeight w:val="270"/>
        </w:trPr>
        <w:tc>
          <w:tcPr>
            <w:tcW w:w="810" w:type="dxa"/>
            <w:vMerge/>
            <w:shd w:val="clear" w:color="auto" w:fill="AF1F2C"/>
            <w:textDirection w:val="btLr"/>
            <w:vAlign w:val="center"/>
          </w:tcPr>
          <w:p w14:paraId="1FB15914" w14:textId="77777777" w:rsidR="007F5D93" w:rsidRPr="007F5D93" w:rsidRDefault="007F5D93" w:rsidP="00B4587A">
            <w:pPr>
              <w:tabs>
                <w:tab w:val="left" w:pos="2729"/>
              </w:tabs>
              <w:ind w:left="113" w:right="113"/>
              <w:jc w:val="center"/>
              <w:rPr>
                <w:rFonts w:ascii="Helvetica" w:hAnsi="Helvetica" w:cs="Helvetica"/>
                <w:b/>
                <w:color w:val="FFFFFF" w:themeColor="background1"/>
                <w:sz w:val="16"/>
              </w:rPr>
            </w:pPr>
          </w:p>
        </w:tc>
        <w:tc>
          <w:tcPr>
            <w:tcW w:w="2339" w:type="dxa"/>
            <w:shd w:val="clear" w:color="auto" w:fill="E7E6E6" w:themeFill="background2"/>
          </w:tcPr>
          <w:p w14:paraId="71B31BBF" w14:textId="77777777" w:rsidR="007F5D93" w:rsidRPr="007F5D93" w:rsidRDefault="007F5D93" w:rsidP="00B4587A">
            <w:pPr>
              <w:rPr>
                <w:rFonts w:ascii="Helvetica" w:hAnsi="Helvetica" w:cs="Helvetica"/>
                <w:b/>
                <w:sz w:val="16"/>
              </w:rPr>
            </w:pPr>
            <w:r w:rsidRPr="007F5D93">
              <w:rPr>
                <w:rFonts w:ascii="Helvetica" w:hAnsi="Helvetica" w:cs="Helvetica"/>
                <w:b/>
                <w:sz w:val="16"/>
              </w:rPr>
              <w:t>Cross-Cutting Theme:</w:t>
            </w:r>
          </w:p>
        </w:tc>
        <w:tc>
          <w:tcPr>
            <w:tcW w:w="6661" w:type="dxa"/>
            <w:gridSpan w:val="5"/>
            <w:shd w:val="clear" w:color="auto" w:fill="E7E6E6" w:themeFill="background2"/>
          </w:tcPr>
          <w:p w14:paraId="7F3C5329" w14:textId="1DDB1339" w:rsidR="007F5D93" w:rsidRPr="007F5D93" w:rsidRDefault="00B04DD4" w:rsidP="00B4587A">
            <w:pPr>
              <w:rPr>
                <w:rFonts w:ascii="Helvetica" w:hAnsi="Helvetica" w:cs="Helvetica"/>
                <w:b/>
                <w:sz w:val="16"/>
              </w:rPr>
            </w:pPr>
            <w:r>
              <w:rPr>
                <w:rFonts w:ascii="Helvetica" w:hAnsi="Helvetica" w:cs="Helvetica"/>
                <w:sz w:val="16"/>
              </w:rPr>
              <w:t>Direct and indirect costs</w:t>
            </w:r>
            <w:r w:rsidR="007F5D93" w:rsidRPr="007F5D93">
              <w:rPr>
                <w:rFonts w:ascii="Helvetica" w:hAnsi="Helvetica" w:cs="Helvetica"/>
                <w:sz w:val="16"/>
              </w:rPr>
              <w:t>, Content of education</w:t>
            </w:r>
          </w:p>
        </w:tc>
      </w:tr>
    </w:tbl>
    <w:p w14:paraId="47CF7141" w14:textId="49B1823A" w:rsidR="00AE6EFA" w:rsidRDefault="00AE6EFA" w:rsidP="00C7012E"/>
    <w:p w14:paraId="49F8BCC1" w14:textId="77777777" w:rsidR="00633EF9" w:rsidRPr="00AE6EFA" w:rsidRDefault="00633EF9" w:rsidP="00633EF9">
      <w:pPr>
        <w:pStyle w:val="Heading2"/>
        <w:rPr>
          <w:b/>
        </w:rPr>
      </w:pPr>
      <w:r w:rsidRPr="00AE6EFA">
        <w:rPr>
          <w:b/>
        </w:rPr>
        <w:lastRenderedPageBreak/>
        <w:t>High Scores</w:t>
      </w:r>
    </w:p>
    <w:p w14:paraId="666E11CD" w14:textId="6A3E6271" w:rsidR="00633EF9" w:rsidRDefault="00633EF9" w:rsidP="00633EF9">
      <w:r>
        <w:t xml:space="preserve">Canada scored </w:t>
      </w:r>
      <w:r w:rsidR="00D6343C">
        <w:t>high</w:t>
      </w:r>
      <w:r>
        <w:t xml:space="preserve"> in many subthemes of the </w:t>
      </w:r>
      <w:r w:rsidR="00D6343C">
        <w:t>questionnaire</w:t>
      </w:r>
      <w:r>
        <w:t xml:space="preserve">. Subthemes such as legislation to ensure free and compulsory education, sanitation of schools, availability and training of teachers, safe learning environments, learning opportunities for children with disabilities and for those who are out of school, all scored 100. </w:t>
      </w:r>
    </w:p>
    <w:p w14:paraId="27ADCF93" w14:textId="77777777" w:rsidR="00633EF9" w:rsidRPr="00AE6EFA" w:rsidRDefault="00633EF9" w:rsidP="00633EF9">
      <w:pPr>
        <w:pStyle w:val="Heading2"/>
        <w:rPr>
          <w:b/>
        </w:rPr>
      </w:pPr>
      <w:r w:rsidRPr="00AE6EFA">
        <w:rPr>
          <w:b/>
        </w:rPr>
        <w:t>Low Scores</w:t>
      </w:r>
    </w:p>
    <w:p w14:paraId="5200F5AB" w14:textId="77777777" w:rsidR="00633EF9" w:rsidRDefault="00633EF9" w:rsidP="00633EF9">
      <w:r>
        <w:t>Some of the lower scoring subthemes include international framework, discri</w:t>
      </w:r>
      <w:r w:rsidR="00224FA5">
        <w:t>mination, and learning outcomes</w:t>
      </w:r>
      <w:r>
        <w:t xml:space="preserve">. </w:t>
      </w:r>
    </w:p>
    <w:p w14:paraId="09DD94F7" w14:textId="77777777" w:rsidR="00633EF9" w:rsidRDefault="00633EF9" w:rsidP="00633EF9">
      <w:r>
        <w:t xml:space="preserve">The </w:t>
      </w:r>
      <w:r w:rsidRPr="00AE6EFA">
        <w:rPr>
          <w:b/>
        </w:rPr>
        <w:t>International Framework subtheme</w:t>
      </w:r>
      <w:r>
        <w:t xml:space="preserve"> reviewed the international agreements</w:t>
      </w:r>
      <w:r w:rsidR="00C34C6F">
        <w:t xml:space="preserve"> which Canada has or has not signed</w:t>
      </w:r>
      <w:r>
        <w:t xml:space="preserve">. Given that Canada has not signed the UNESCO Convention Against Discrimination in Education nor the ILO Indigenous and Tribal Peoples Convention, the score in this section was lower. </w:t>
      </w:r>
    </w:p>
    <w:p w14:paraId="1D7D3E16" w14:textId="764F511F" w:rsidR="00AE6EFA" w:rsidRDefault="00633EF9" w:rsidP="00633EF9">
      <w:r>
        <w:t xml:space="preserve">The </w:t>
      </w:r>
      <w:r w:rsidRPr="00B47E24">
        <w:rPr>
          <w:b/>
        </w:rPr>
        <w:t>Discrimination subtheme</w:t>
      </w:r>
      <w:r>
        <w:t xml:space="preserve"> was based on the existence of specific policies that protect students from all forms of discrimination. Canadian legislation includes the right to education and laws against </w:t>
      </w:r>
      <w:r w:rsidR="00AE6EFA">
        <w:t>discrimination;</w:t>
      </w:r>
      <w:r>
        <w:t xml:space="preserve"> however, specific wording was missing to ensure that there is no discrimination based on property, economic or social status, and place of residence (detailed in Question 3.2.1). Although the wording is not present</w:t>
      </w:r>
      <w:r w:rsidR="00C34C6F">
        <w:t xml:space="preserve"> in legislation</w:t>
      </w:r>
      <w:r>
        <w:t xml:space="preserve">, in </w:t>
      </w:r>
      <w:r w:rsidR="00C34C6F">
        <w:t>practice</w:t>
      </w:r>
      <w:r>
        <w:t xml:space="preserve"> these types of discrimination are overcome by many local programs that exist in communities of need. Support to low income families such as breakfast programs and the provision of warm winter clothes, in addition to the free, compulsory education policy from the government, ensure all children attend school</w:t>
      </w:r>
      <w:r w:rsidR="00C34C6F">
        <w:t>, and students often have access to</w:t>
      </w:r>
      <w:r>
        <w:t xml:space="preserve"> breakfast at school or appropriate winter clothing for outdoor periods of the school day. To ensure that discrimination based on place of residence does not take place, schools boards may</w:t>
      </w:r>
      <w:r w:rsidR="00CF075C">
        <w:t xml:space="preserve"> provide bus transportation if</w:t>
      </w:r>
      <w:r>
        <w:t xml:space="preserve"> </w:t>
      </w:r>
      <w:r w:rsidR="00CF075C">
        <w:t>students live</w:t>
      </w:r>
      <w:r>
        <w:t xml:space="preserve"> too far to walk, in</w:t>
      </w:r>
      <w:r w:rsidR="00CF075C">
        <w:t>cluding students with disabilities</w:t>
      </w:r>
      <w:r>
        <w:t xml:space="preserve"> who may attend special schools. This is managed by </w:t>
      </w:r>
      <w:r w:rsidR="00CF075C">
        <w:t xml:space="preserve">each </w:t>
      </w:r>
      <w:r>
        <w:t xml:space="preserve">province or </w:t>
      </w:r>
      <w:r w:rsidR="00B04DD4">
        <w:t>territory;</w:t>
      </w:r>
      <w:r>
        <w:t xml:space="preserve"> one example is found in the Ontario Ed</w:t>
      </w:r>
      <w:r w:rsidR="00217CDB">
        <w:t>ucation Act in Section 190 (1)</w:t>
      </w:r>
      <w:r w:rsidR="00B04DD4">
        <w:t>.</w:t>
      </w:r>
      <w:r w:rsidR="00AE6EFA">
        <w:rPr>
          <w:rStyle w:val="FootnoteReference"/>
        </w:rPr>
        <w:footnoteReference w:id="1"/>
      </w:r>
      <w:r w:rsidR="00AE6EFA">
        <w:t xml:space="preserve"> Although the purpose of this subtheme was to review how discrimination is avoided through policy and legislation, discrimination still exists in the Canadian education context, specifically in regards to the education of Canada’s indigenous populations on reserves. These issues are further analyzed in the Key Issues section. </w:t>
      </w:r>
    </w:p>
    <w:p w14:paraId="68C388C3" w14:textId="77777777" w:rsidR="00AE6EFA" w:rsidRDefault="00AE6EFA" w:rsidP="00633EF9">
      <w:r>
        <w:t xml:space="preserve">The </w:t>
      </w:r>
      <w:r w:rsidRPr="00B47E24">
        <w:rPr>
          <w:b/>
        </w:rPr>
        <w:t>Learning Outcomes subtheme</w:t>
      </w:r>
      <w:r>
        <w:t xml:space="preserve"> surveyed if national exams were conducted to assess a list of specific areas of learning. Given the decentralized education system in Canada, assessments and curriculum vary by province and territory. The learning subjects in the survey are included in most of Canada’s curriculums and are therefore, assessed in the classroom, in different ways. However, the assessment process for these learning outcomes is not regulated at a national or provincial level, and without this process standardized, the score was lower for these questions. </w:t>
      </w:r>
    </w:p>
    <w:p w14:paraId="30629894" w14:textId="77777777" w:rsidR="00AE6EFA" w:rsidRDefault="00AE6EFA" w:rsidP="00633EF9">
      <w:r>
        <w:t xml:space="preserve">Outside of the specific RTEI scores, the research to complete this survey highlighted areas in the Canadian education context that require further attention from the government, most of which have been championed for some time in the country. Some of the most significant issues in Canadian education are the academic outcomes of Canada’s indigenous populations, the quality of infrastructure in on reserve schools, and the monitoring of private and home schooling across the country. </w:t>
      </w:r>
    </w:p>
    <w:p w14:paraId="51842348" w14:textId="77777777" w:rsidR="00AE6EFA" w:rsidRPr="007263CC" w:rsidRDefault="00AE6EFA" w:rsidP="00E76015">
      <w:pPr>
        <w:pStyle w:val="Heading1"/>
        <w:rPr>
          <w:sz w:val="28"/>
          <w:szCs w:val="28"/>
        </w:rPr>
      </w:pPr>
      <w:r w:rsidRPr="007263CC">
        <w:rPr>
          <w:sz w:val="28"/>
          <w:szCs w:val="28"/>
        </w:rPr>
        <w:t xml:space="preserve">Key Issue 1: Disparities in Education for Indigenous people </w:t>
      </w:r>
    </w:p>
    <w:p w14:paraId="214C91E8" w14:textId="4C8AEDB9" w:rsidR="00AE6EFA" w:rsidRDefault="00AE6EFA">
      <w:r>
        <w:t xml:space="preserve">Subtheme 3 – Accessibility – includes questions to measure and compare the rate of Canadians completing various levels of education. There was a significant lack of data in this area, reducing the </w:t>
      </w:r>
      <w:r w:rsidR="00470342">
        <w:t xml:space="preserve">number of </w:t>
      </w:r>
      <w:r>
        <w:t xml:space="preserve">conclusions that could be drawn from this section. Regardless, the research conducted to complete this area of the questionnaire highlighted a significant challenge in Canada: disparities in the education of Indigenous people. </w:t>
      </w:r>
    </w:p>
    <w:p w14:paraId="118624FC" w14:textId="77777777" w:rsidR="00AE6EFA" w:rsidRDefault="00AE6EFA">
      <w:r>
        <w:rPr>
          <w:noProof/>
          <w:lang w:val="en-US"/>
        </w:rPr>
        <w:drawing>
          <wp:anchor distT="0" distB="0" distL="114300" distR="114300" simplePos="0" relativeHeight="251658240" behindDoc="0" locked="0" layoutInCell="1" allowOverlap="1" wp14:anchorId="4601CB1F" wp14:editId="358D2A90">
            <wp:simplePos x="0" y="0"/>
            <wp:positionH relativeFrom="margin">
              <wp:align>right</wp:align>
            </wp:positionH>
            <wp:positionV relativeFrom="paragraph">
              <wp:posOffset>544333</wp:posOffset>
            </wp:positionV>
            <wp:extent cx="3093720" cy="1733550"/>
            <wp:effectExtent l="0" t="0" r="11430" b="190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From the most recent national census in 2011, Indigenous people, often referred to as Aboriginal peoples, consist of 4.3% of Canada’s overall population</w:t>
      </w:r>
      <w:r>
        <w:rPr>
          <w:rStyle w:val="FootnoteReference"/>
        </w:rPr>
        <w:footnoteReference w:id="2"/>
      </w:r>
      <w:r>
        <w:t xml:space="preserve"> and as such may not significantly impact national education statistics. However, the high school graduation rate is substantially lower amongst Aboriginal peoples in Canada, and the country’s lowest rates are within the Inuit population. </w:t>
      </w:r>
    </w:p>
    <w:p w14:paraId="624597C2" w14:textId="2A6BC61D" w:rsidR="00AE6EFA" w:rsidRDefault="00AE6EFA">
      <w:r>
        <w:t>A 2016 report from Canadian think tank C.D. Howe Institute found that non-Aboriginal students graduate from secondary school at a rate of 9 in 10.  Seven in ten Aboriginal students who are attending school off-reserve graduate from high school and only four in 10 aboriginal students living on reserve have finished high school.</w:t>
      </w:r>
      <w:r>
        <w:rPr>
          <w:rStyle w:val="FootnoteReference"/>
        </w:rPr>
        <w:footnoteReference w:id="3"/>
      </w:r>
    </w:p>
    <w:p w14:paraId="684E73FF" w14:textId="11A732D4" w:rsidR="00AE6EFA" w:rsidRDefault="00AE6EFA">
      <w:r>
        <w:t>Although Aboriginal people do not</w:t>
      </w:r>
      <w:r w:rsidR="00470342">
        <w:t xml:space="preserve"> represent</w:t>
      </w:r>
      <w:r>
        <w:t xml:space="preserve"> a large segment of the Canadian population, the blatant disparities in academic achievement suggest that reforms are needed. This is not new information, and there have been movements to demand more funding and resources for Aboriginal education and basic services in Canada for many years. </w:t>
      </w:r>
    </w:p>
    <w:p w14:paraId="24C4E531" w14:textId="77777777" w:rsidR="00AE6EFA" w:rsidRPr="007263CC" w:rsidRDefault="00AE6EFA" w:rsidP="00E76015">
      <w:pPr>
        <w:pStyle w:val="Heading1"/>
        <w:rPr>
          <w:sz w:val="28"/>
          <w:szCs w:val="28"/>
        </w:rPr>
      </w:pPr>
      <w:r w:rsidRPr="007263CC">
        <w:rPr>
          <w:sz w:val="28"/>
          <w:szCs w:val="28"/>
        </w:rPr>
        <w:t>Key Issue 2: Inequality in Infrastructure and Sanitation</w:t>
      </w:r>
    </w:p>
    <w:p w14:paraId="30993D54" w14:textId="77777777" w:rsidR="00AE6EFA" w:rsidRDefault="00AE6EFA">
      <w:r>
        <w:t xml:space="preserve">The RTEI surveyed if schools met minimum building codes and sanitation standards. Data availability on the status of buildings and number of toilets is limited in Canada. Nevertheless, this is not a significant concern as there are regional codes for buildings and sanitation as well as regular inspections. However, as in Key Issue 1, the exception is for Aboriginal communities and on reserve schools. Canada’s score for sanitation in the RTEI is 100 based on the available data, however, many indigenous communities lack access to potable water and adequate schools but the specific data on Canada-wide rates was not available.  </w:t>
      </w:r>
    </w:p>
    <w:p w14:paraId="01D27FA9" w14:textId="77777777" w:rsidR="00AE6EFA" w:rsidRDefault="00AE6EFA">
      <w:r>
        <w:t>A 2012 report on education by the Assembly of First Nations stated that 47% of First Nations communities needed a new school, and 32% of schools had an issue with clean drinking water.</w:t>
      </w:r>
      <w:r>
        <w:rPr>
          <w:rStyle w:val="FootnoteReference"/>
        </w:rPr>
        <w:footnoteReference w:id="4"/>
      </w:r>
      <w:r>
        <w:t xml:space="preserve">  </w:t>
      </w:r>
    </w:p>
    <w:p w14:paraId="03781618" w14:textId="77777777" w:rsidR="00AE6EFA" w:rsidRDefault="00AE6EFA">
      <w:r>
        <w:t>In September 2016, there were 93 drinking water advisories in First Nations communities across Canada, not including British Columbia.</w:t>
      </w:r>
      <w:r>
        <w:rPr>
          <w:rStyle w:val="FootnoteReference"/>
        </w:rPr>
        <w:footnoteReference w:id="5"/>
      </w:r>
      <w:r>
        <w:t xml:space="preserve"> An investigation on this issue led by Canadian news company, CBC, found that 400 of 618 First Nations communities in Canada have had some type of water safety problem between 2004 and 2014.</w:t>
      </w:r>
      <w:r>
        <w:rPr>
          <w:rStyle w:val="FootnoteReference"/>
        </w:rPr>
        <w:footnoteReference w:id="6"/>
      </w:r>
    </w:p>
    <w:p w14:paraId="30F443D4" w14:textId="68FDD201" w:rsidR="00AE6EFA" w:rsidRDefault="00AE6EFA">
      <w:r>
        <w:t xml:space="preserve">The data available makes it difficult to calculate the exact rate of schools without potable </w:t>
      </w:r>
      <w:r w:rsidR="007263CC">
        <w:t>water;</w:t>
      </w:r>
      <w:r>
        <w:t xml:space="preserve"> however it is evident that First Nations communities are disproportionately at risk of water contamination. There are no reports found about a lack of potable water in schools which are not in indigenous communities. </w:t>
      </w:r>
    </w:p>
    <w:p w14:paraId="25DAF3D3" w14:textId="77777777" w:rsidR="00AE6EFA" w:rsidRPr="007263CC" w:rsidRDefault="00AE6EFA" w:rsidP="00E76015">
      <w:pPr>
        <w:pStyle w:val="Heading1"/>
        <w:rPr>
          <w:sz w:val="28"/>
          <w:szCs w:val="28"/>
        </w:rPr>
      </w:pPr>
      <w:r w:rsidRPr="007263CC">
        <w:rPr>
          <w:sz w:val="28"/>
          <w:szCs w:val="28"/>
        </w:rPr>
        <w:t>Key Issue 3: Minimum Education Standards and Monitoring Education</w:t>
      </w:r>
    </w:p>
    <w:p w14:paraId="5BC8ABBF" w14:textId="77777777" w:rsidR="00AE6EFA" w:rsidRDefault="00AE6EFA" w:rsidP="00B34800">
      <w:r w:rsidRPr="004B0164">
        <w:t>Each province</w:t>
      </w:r>
      <w:r>
        <w:t xml:space="preserve"> and territory</w:t>
      </w:r>
      <w:r w:rsidRPr="004B0164">
        <w:t xml:space="preserve"> has minimum education standards for all public schools</w:t>
      </w:r>
      <w:r>
        <w:t xml:space="preserve"> which are set out in their respective education legislation</w:t>
      </w:r>
      <w:r w:rsidRPr="004B0164">
        <w:t>. In ten provinces</w:t>
      </w:r>
      <w:r>
        <w:t>/territories</w:t>
      </w:r>
      <w:r w:rsidRPr="004B0164">
        <w:t xml:space="preserve"> these standards apply to private schools. In Ontario and Saskatchewan, private schools are inspected but the language does not specifically say </w:t>
      </w:r>
      <w:r>
        <w:t>what the inspection includes, for example, if it is only the physical building or also</w:t>
      </w:r>
      <w:r w:rsidRPr="004B0164">
        <w:t xml:space="preserve"> </w:t>
      </w:r>
      <w:r>
        <w:t xml:space="preserve">the </w:t>
      </w:r>
      <w:r w:rsidRPr="004B0164">
        <w:t xml:space="preserve">educational </w:t>
      </w:r>
      <w:r>
        <w:t>program that are being assessed</w:t>
      </w:r>
      <w:r w:rsidRPr="004B0164">
        <w:t>. In New Brunswick the</w:t>
      </w:r>
      <w:r>
        <w:t>re are no policies to ensure that the</w:t>
      </w:r>
      <w:r w:rsidRPr="004B0164">
        <w:t xml:space="preserve"> Ministry of Education </w:t>
      </w:r>
      <w:r>
        <w:t xml:space="preserve">monitors private schools (supporting documents and information are available in the survey for Question 1.4.1.). Without standardization and monitoring, they cannot ensure the learning outcomes or level of education being achieved or certified by these schools. </w:t>
      </w:r>
    </w:p>
    <w:p w14:paraId="3C71A886" w14:textId="77777777" w:rsidR="00AE6EFA" w:rsidRDefault="00AE6EFA" w:rsidP="00B34800">
      <w:r>
        <w:t>Home school regulations are also set by the province or territory. In four provinces, British Columbia, Ontario, New Brunswick and Newfoundland and Labrador, the only requirement is that the parents notify the education authorities that their children will be home schooled (pg 17)</w:t>
      </w:r>
      <w:r>
        <w:rPr>
          <w:rStyle w:val="FootnoteReference"/>
        </w:rPr>
        <w:footnoteReference w:id="7"/>
      </w:r>
      <w:r>
        <w:t xml:space="preserve"> but further assessment of the academic program are not required. Only in five of 13 provinces are home school programs inspected or certified and only in three provinces is the program monitored by the public school board or a private school (pg 20). </w:t>
      </w:r>
    </w:p>
    <w:p w14:paraId="6F5AEEA6" w14:textId="77777777" w:rsidR="00B34800" w:rsidRDefault="00AE6EFA" w:rsidP="00D4568B">
      <w:r w:rsidRPr="00B34800">
        <w:t>On-reserve schools</w:t>
      </w:r>
      <w:r>
        <w:t xml:space="preserve"> are well monitored as they</w:t>
      </w:r>
      <w:r w:rsidRPr="00B34800">
        <w:t xml:space="preserve"> are required to have provincially certified teachers and match provincial education standards. </w:t>
      </w:r>
      <w:r>
        <w:t>Schools are</w:t>
      </w:r>
      <w:r w:rsidRPr="00B34800">
        <w:t xml:space="preserve"> assessed every five years.</w:t>
      </w:r>
      <w:r>
        <w:rPr>
          <w:rStyle w:val="FootnoteReference"/>
        </w:rPr>
        <w:footnoteReference w:id="8"/>
      </w:r>
      <w:r>
        <w:t xml:space="preserve"> </w:t>
      </w:r>
    </w:p>
    <w:p w14:paraId="0E824B92" w14:textId="6B8B1A30" w:rsidR="00D4568B" w:rsidRPr="007263CC" w:rsidRDefault="00B04DD4" w:rsidP="00E76015">
      <w:pPr>
        <w:pStyle w:val="Heading1"/>
        <w:rPr>
          <w:sz w:val="28"/>
          <w:szCs w:val="28"/>
        </w:rPr>
      </w:pPr>
      <w:r>
        <w:rPr>
          <w:sz w:val="28"/>
          <w:szCs w:val="28"/>
        </w:rPr>
        <w:t>Data Availability</w:t>
      </w:r>
    </w:p>
    <w:p w14:paraId="3799DDDB" w14:textId="351A5C01" w:rsidR="000955BB" w:rsidRDefault="000955BB" w:rsidP="000955BB">
      <w:r>
        <w:t>A challenge in this type of survey is the availability of data and the disaggregation of data to appropriately respond to the question</w:t>
      </w:r>
      <w:r w:rsidR="00F46FD7">
        <w:t>s</w:t>
      </w:r>
      <w:r>
        <w:t xml:space="preserve">. Canada scored </w:t>
      </w:r>
      <w:r w:rsidR="00F46FD7">
        <w:t>7</w:t>
      </w:r>
      <w:r w:rsidR="00B04DD4">
        <w:t>5</w:t>
      </w:r>
      <w:r w:rsidR="00F46FD7">
        <w:t xml:space="preserve"> in </w:t>
      </w:r>
      <w:r w:rsidR="00B04DD4">
        <w:t>data</w:t>
      </w:r>
      <w:r w:rsidR="00F46FD7">
        <w:t xml:space="preserve"> availability.</w:t>
      </w:r>
      <w:r>
        <w:t xml:space="preserve"> This is due to the extensive legislation for education in each province and territory. The main areas that lacked data were ones that were comparing disaggregated statistics, such as primary school completion rates based on location</w:t>
      </w:r>
      <w:r w:rsidR="00F46FD7">
        <w:t>, disability</w:t>
      </w:r>
      <w:r>
        <w:t xml:space="preserve"> and income quintile.</w:t>
      </w:r>
      <w:r w:rsidR="009531C6">
        <w:t xml:space="preserve"> </w:t>
      </w:r>
    </w:p>
    <w:p w14:paraId="24E0EEC8" w14:textId="125A11C8" w:rsidR="000955BB" w:rsidRPr="000955BB" w:rsidRDefault="000955BB" w:rsidP="000955BB">
      <w:r>
        <w:t xml:space="preserve">In addition, although much of the data was available, many of the statistics </w:t>
      </w:r>
      <w:r w:rsidR="007263CC">
        <w:t>are</w:t>
      </w:r>
      <w:r>
        <w:t xml:space="preserve"> from 5 to 10 years ago. The last published national census was in 2011, and while there was another census conducted in 2016, the results have not yet been released. The challenge of finding specific and recent data is also a result of the decentralized education system, as different indicators are collected by the various bodies who manage education in their region.  </w:t>
      </w:r>
    </w:p>
    <w:p w14:paraId="6435286D" w14:textId="77777777" w:rsidR="002A45D2" w:rsidRPr="007263CC" w:rsidRDefault="000F244C" w:rsidP="00E76015">
      <w:pPr>
        <w:pStyle w:val="Heading1"/>
        <w:rPr>
          <w:sz w:val="28"/>
          <w:szCs w:val="28"/>
        </w:rPr>
      </w:pPr>
      <w:r w:rsidRPr="007263CC">
        <w:rPr>
          <w:sz w:val="28"/>
          <w:szCs w:val="28"/>
        </w:rPr>
        <w:t>Recommendations</w:t>
      </w:r>
    </w:p>
    <w:p w14:paraId="665CB928" w14:textId="77777777" w:rsidR="00262D5E" w:rsidRDefault="000F244C" w:rsidP="00262D5E">
      <w:r>
        <w:t xml:space="preserve">The research for this survey as well as the index scores have indicated the areas in which Canada can improve the opportunities and outcomes of the education system. </w:t>
      </w:r>
    </w:p>
    <w:p w14:paraId="0E383263" w14:textId="6C6E6C4B" w:rsidR="00262D5E" w:rsidRDefault="00262D5E" w:rsidP="000F244C">
      <w:pPr>
        <w:pStyle w:val="ListParagraph"/>
        <w:numPr>
          <w:ilvl w:val="0"/>
          <w:numId w:val="3"/>
        </w:numPr>
      </w:pPr>
      <w:r>
        <w:t>International Framework</w:t>
      </w:r>
      <w:r w:rsidR="007263CC">
        <w:t>s</w:t>
      </w:r>
      <w:r>
        <w:t>: Canada should sign on to the UNESCO Conventional against Discrimination in Education and the ILO Indigenous and Tribal Peoples Convention</w:t>
      </w:r>
      <w:r w:rsidR="000F244C">
        <w:t xml:space="preserve">.  </w:t>
      </w:r>
    </w:p>
    <w:p w14:paraId="1CF1C74D" w14:textId="45276807" w:rsidR="00262D5E" w:rsidRDefault="00262D5E" w:rsidP="000F244C">
      <w:pPr>
        <w:pStyle w:val="ListParagraph"/>
        <w:numPr>
          <w:ilvl w:val="0"/>
          <w:numId w:val="3"/>
        </w:numPr>
      </w:pPr>
      <w:r>
        <w:t xml:space="preserve">Regional Disparities: Education outcomes should be comparable for Aboriginal </w:t>
      </w:r>
      <w:r w:rsidR="005148B5">
        <w:t>and non-Aboriginal students</w:t>
      </w:r>
      <w:r>
        <w:t>, particularly those who live on reserve or in</w:t>
      </w:r>
      <w:r w:rsidR="000F244C">
        <w:t xml:space="preserve"> rural areas such as the Inuit. This is not necessarily a problem of creating education </w:t>
      </w:r>
      <w:r w:rsidR="007263CC">
        <w:t>standards;</w:t>
      </w:r>
      <w:r w:rsidR="000F244C">
        <w:t xml:space="preserve"> this is more likely an issue of resources. All schools need to have adequate, qualified teachers and support staff such as social workers and mental health workers. In addition, adequate resources such as books </w:t>
      </w:r>
      <w:r w:rsidR="005148B5">
        <w:t>and technical assistive devices</w:t>
      </w:r>
      <w:r w:rsidR="000F244C">
        <w:t xml:space="preserve"> need to be available that reflect the language and culture of the people. </w:t>
      </w:r>
    </w:p>
    <w:p w14:paraId="1BF94CBE" w14:textId="08DBBD96" w:rsidR="0028617C" w:rsidRDefault="000F244C" w:rsidP="007263CC">
      <w:pPr>
        <w:pStyle w:val="ListParagraph"/>
        <w:numPr>
          <w:ilvl w:val="0"/>
          <w:numId w:val="3"/>
        </w:numPr>
      </w:pPr>
      <w:r>
        <w:t xml:space="preserve">Monitoring: </w:t>
      </w:r>
      <w:r w:rsidR="00262D5E">
        <w:t xml:space="preserve">Schools and programs need to be monitored against set standards. Home school and private school programs should be assessed with provincial standards. Schools need to meet provincial or regional building and sanitation codes, particularly those on reserve. </w:t>
      </w:r>
    </w:p>
    <w:sectPr w:rsidR="0028617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8E596" w14:textId="77777777" w:rsidR="00C53AE9" w:rsidRDefault="00C53AE9" w:rsidP="00217CDB">
      <w:pPr>
        <w:spacing w:after="0" w:line="240" w:lineRule="auto"/>
      </w:pPr>
      <w:r>
        <w:separator/>
      </w:r>
    </w:p>
  </w:endnote>
  <w:endnote w:type="continuationSeparator" w:id="0">
    <w:p w14:paraId="27C02C48" w14:textId="77777777" w:rsidR="00C53AE9" w:rsidRDefault="00C53AE9" w:rsidP="0021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0DE6A" w14:textId="77777777" w:rsidR="00C53AE9" w:rsidRDefault="00C53AE9" w:rsidP="00217CDB">
      <w:pPr>
        <w:spacing w:after="0" w:line="240" w:lineRule="auto"/>
      </w:pPr>
      <w:r>
        <w:separator/>
      </w:r>
    </w:p>
  </w:footnote>
  <w:footnote w:type="continuationSeparator" w:id="0">
    <w:p w14:paraId="52D9B26D" w14:textId="77777777" w:rsidR="00C53AE9" w:rsidRDefault="00C53AE9" w:rsidP="00217CDB">
      <w:pPr>
        <w:spacing w:after="0" w:line="240" w:lineRule="auto"/>
      </w:pPr>
      <w:r>
        <w:continuationSeparator/>
      </w:r>
    </w:p>
  </w:footnote>
  <w:footnote w:id="1">
    <w:p w14:paraId="6FB467B0" w14:textId="017A2456" w:rsidR="00AE6EFA" w:rsidRPr="00470342" w:rsidRDefault="00AE6EFA">
      <w:pPr>
        <w:pStyle w:val="FootnoteText"/>
        <w:rPr>
          <w:sz w:val="16"/>
          <w:szCs w:val="16"/>
        </w:rPr>
      </w:pPr>
      <w:r w:rsidRPr="00470342">
        <w:rPr>
          <w:rStyle w:val="FootnoteReference"/>
          <w:sz w:val="16"/>
          <w:szCs w:val="16"/>
        </w:rPr>
        <w:footnoteRef/>
      </w:r>
      <w:r w:rsidRPr="00470342">
        <w:rPr>
          <w:sz w:val="16"/>
          <w:szCs w:val="16"/>
        </w:rPr>
        <w:t xml:space="preserve"> </w:t>
      </w:r>
      <w:r w:rsidR="00B04DD4">
        <w:rPr>
          <w:sz w:val="16"/>
          <w:szCs w:val="16"/>
        </w:rPr>
        <w:t xml:space="preserve">See </w:t>
      </w:r>
      <w:hyperlink r:id="rId1" w:anchor="BK170" w:history="1">
        <w:r w:rsidRPr="00470342">
          <w:rPr>
            <w:rStyle w:val="Hyperlink"/>
            <w:sz w:val="16"/>
            <w:szCs w:val="16"/>
          </w:rPr>
          <w:t>https://www.ontario.ca/laws/statute/90e02#BK170</w:t>
        </w:r>
      </w:hyperlink>
    </w:p>
  </w:footnote>
  <w:footnote w:id="2">
    <w:p w14:paraId="76FAB675" w14:textId="2DE35EDF" w:rsidR="00AE6EFA" w:rsidRPr="00470342" w:rsidRDefault="00AE6EFA">
      <w:pPr>
        <w:pStyle w:val="FootnoteText"/>
        <w:rPr>
          <w:sz w:val="16"/>
          <w:szCs w:val="16"/>
        </w:rPr>
      </w:pPr>
      <w:r w:rsidRPr="00470342">
        <w:rPr>
          <w:rStyle w:val="FootnoteReference"/>
          <w:sz w:val="16"/>
          <w:szCs w:val="16"/>
        </w:rPr>
        <w:footnoteRef/>
      </w:r>
      <w:r w:rsidRPr="00470342">
        <w:rPr>
          <w:sz w:val="16"/>
          <w:szCs w:val="16"/>
        </w:rPr>
        <w:t xml:space="preserve"> </w:t>
      </w:r>
      <w:r w:rsidR="00B04DD4">
        <w:rPr>
          <w:sz w:val="16"/>
          <w:szCs w:val="16"/>
        </w:rPr>
        <w:t>See</w:t>
      </w:r>
      <w:r w:rsidR="00B04DD4">
        <w:t xml:space="preserve"> </w:t>
      </w:r>
      <w:hyperlink r:id="rId2" w:history="1">
        <w:r w:rsidRPr="00470342">
          <w:rPr>
            <w:rStyle w:val="Hyperlink"/>
            <w:sz w:val="16"/>
            <w:szCs w:val="16"/>
          </w:rPr>
          <w:t>https://www12.statcan.gc.ca/nhs-enm/2011/as-sa/99-011-x/99-011-x2011001-eng.cfm</w:t>
        </w:r>
      </w:hyperlink>
    </w:p>
  </w:footnote>
  <w:footnote w:id="3">
    <w:p w14:paraId="0B369986" w14:textId="6E1274A9" w:rsidR="00AE6EFA" w:rsidRPr="00470342" w:rsidRDefault="00AE6EFA">
      <w:pPr>
        <w:pStyle w:val="FootnoteText"/>
        <w:rPr>
          <w:sz w:val="16"/>
          <w:szCs w:val="16"/>
        </w:rPr>
      </w:pPr>
      <w:r w:rsidRPr="00470342">
        <w:rPr>
          <w:rStyle w:val="FootnoteReference"/>
          <w:sz w:val="16"/>
          <w:szCs w:val="16"/>
        </w:rPr>
        <w:footnoteRef/>
      </w:r>
      <w:r w:rsidRPr="00470342">
        <w:rPr>
          <w:sz w:val="16"/>
          <w:szCs w:val="16"/>
        </w:rPr>
        <w:t xml:space="preserve"> </w:t>
      </w:r>
      <w:r w:rsidR="00B04DD4">
        <w:rPr>
          <w:sz w:val="16"/>
          <w:szCs w:val="16"/>
        </w:rPr>
        <w:t>See</w:t>
      </w:r>
      <w:r w:rsidR="00B04DD4">
        <w:t xml:space="preserve"> </w:t>
      </w:r>
      <w:hyperlink r:id="rId3" w:history="1">
        <w:r w:rsidRPr="00470342">
          <w:rPr>
            <w:rStyle w:val="Hyperlink"/>
            <w:sz w:val="16"/>
            <w:szCs w:val="16"/>
          </w:rPr>
          <w:t>http://www.theglobeandmail.com/news/national/low-graduation-rates-at-reserve-schools-put-aboriginals-in-jeopardy-report/article28427544/</w:t>
        </w:r>
      </w:hyperlink>
      <w:r w:rsidRPr="00470342">
        <w:rPr>
          <w:sz w:val="16"/>
          <w:szCs w:val="16"/>
        </w:rPr>
        <w:t xml:space="preserve"> </w:t>
      </w:r>
      <w:r w:rsidR="00D6343C">
        <w:rPr>
          <w:sz w:val="16"/>
          <w:szCs w:val="16"/>
        </w:rPr>
        <w:t xml:space="preserve">and </w:t>
      </w:r>
      <w:bookmarkStart w:id="0" w:name="_GoBack"/>
      <w:bookmarkEnd w:id="0"/>
      <w:r w:rsidR="00D6343C">
        <w:fldChar w:fldCharType="begin"/>
      </w:r>
      <w:r w:rsidR="00D6343C">
        <w:instrText xml:space="preserve"> HYPERLINK "https://www.cdhowe.org/sites/default/files/attachments/research_papers/mixed/Commentary_444_0.pdf%20page%204" </w:instrText>
      </w:r>
      <w:r w:rsidR="00D6343C">
        <w:fldChar w:fldCharType="separate"/>
      </w:r>
      <w:r w:rsidRPr="00470342">
        <w:rPr>
          <w:rStyle w:val="Hyperlink"/>
          <w:sz w:val="16"/>
          <w:szCs w:val="16"/>
        </w:rPr>
        <w:t>https://www.cdhowe.org/sites/default/files/attachments/research_papers/mixed/Commentary_444_0.pdf page 4</w:t>
      </w:r>
      <w:r w:rsidR="00D6343C">
        <w:rPr>
          <w:rStyle w:val="Hyperlink"/>
          <w:sz w:val="16"/>
          <w:szCs w:val="16"/>
        </w:rPr>
        <w:fldChar w:fldCharType="end"/>
      </w:r>
    </w:p>
  </w:footnote>
  <w:footnote w:id="4">
    <w:p w14:paraId="4D7A2B57" w14:textId="6B2F3B45" w:rsidR="00AE6EFA" w:rsidRDefault="00AE6EFA">
      <w:pPr>
        <w:pStyle w:val="FootnoteText"/>
      </w:pPr>
      <w:r w:rsidRPr="00470342">
        <w:rPr>
          <w:rStyle w:val="FootnoteReference"/>
          <w:sz w:val="16"/>
          <w:szCs w:val="16"/>
        </w:rPr>
        <w:footnoteRef/>
      </w:r>
      <w:r w:rsidRPr="00470342">
        <w:rPr>
          <w:sz w:val="16"/>
          <w:szCs w:val="16"/>
        </w:rPr>
        <w:t xml:space="preserve"> </w:t>
      </w:r>
      <w:r w:rsidR="00B04DD4">
        <w:rPr>
          <w:sz w:val="16"/>
          <w:szCs w:val="16"/>
        </w:rPr>
        <w:t>See</w:t>
      </w:r>
      <w:r w:rsidR="00B04DD4">
        <w:t xml:space="preserve"> </w:t>
      </w:r>
      <w:hyperlink r:id="rId4" w:history="1">
        <w:r w:rsidRPr="00470342">
          <w:rPr>
            <w:rStyle w:val="Hyperlink"/>
            <w:sz w:val="16"/>
            <w:szCs w:val="16"/>
          </w:rPr>
          <w:t>http://www.afn.ca/uploads/files/1_-_fact_sheet_-_a_portrait_of_first_nations_and_education.pdf</w:t>
        </w:r>
      </w:hyperlink>
    </w:p>
  </w:footnote>
  <w:footnote w:id="5">
    <w:p w14:paraId="62DD7ABA" w14:textId="283686DF" w:rsidR="00AE6EFA" w:rsidRPr="00470342" w:rsidRDefault="00AE6EFA">
      <w:pPr>
        <w:pStyle w:val="FootnoteText"/>
        <w:rPr>
          <w:sz w:val="16"/>
          <w:szCs w:val="16"/>
        </w:rPr>
      </w:pPr>
      <w:r w:rsidRPr="00470342">
        <w:rPr>
          <w:rStyle w:val="FootnoteReference"/>
          <w:sz w:val="16"/>
          <w:szCs w:val="16"/>
        </w:rPr>
        <w:footnoteRef/>
      </w:r>
      <w:r w:rsidRPr="00470342">
        <w:rPr>
          <w:sz w:val="16"/>
          <w:szCs w:val="16"/>
        </w:rPr>
        <w:t xml:space="preserve"> </w:t>
      </w:r>
      <w:r w:rsidR="00B04DD4">
        <w:rPr>
          <w:sz w:val="16"/>
          <w:szCs w:val="16"/>
        </w:rPr>
        <w:t>See</w:t>
      </w:r>
      <w:r w:rsidR="00B04DD4">
        <w:t xml:space="preserve"> </w:t>
      </w:r>
      <w:hyperlink r:id="rId5" w:history="1">
        <w:r w:rsidRPr="00470342">
          <w:rPr>
            <w:rStyle w:val="Hyperlink"/>
            <w:sz w:val="16"/>
            <w:szCs w:val="16"/>
          </w:rPr>
          <w:t>http://www.hc-sc.gc.ca/fniah-spnia/promotion/public-publique/water-dwa-eau-aqep-eng.php</w:t>
        </w:r>
      </w:hyperlink>
    </w:p>
  </w:footnote>
  <w:footnote w:id="6">
    <w:p w14:paraId="65BA0E68" w14:textId="27E47D9F" w:rsidR="00AE6EFA" w:rsidRPr="00470342" w:rsidRDefault="00AE6EFA">
      <w:pPr>
        <w:pStyle w:val="FootnoteText"/>
        <w:rPr>
          <w:sz w:val="16"/>
          <w:szCs w:val="16"/>
        </w:rPr>
      </w:pPr>
      <w:r w:rsidRPr="00470342">
        <w:rPr>
          <w:rStyle w:val="FootnoteReference"/>
          <w:sz w:val="16"/>
          <w:szCs w:val="16"/>
        </w:rPr>
        <w:footnoteRef/>
      </w:r>
      <w:r w:rsidRPr="00470342">
        <w:rPr>
          <w:sz w:val="16"/>
          <w:szCs w:val="16"/>
        </w:rPr>
        <w:t xml:space="preserve"> </w:t>
      </w:r>
      <w:r w:rsidR="00B04DD4">
        <w:rPr>
          <w:sz w:val="16"/>
          <w:szCs w:val="16"/>
        </w:rPr>
        <w:t>See</w:t>
      </w:r>
      <w:r w:rsidR="00B04DD4">
        <w:t xml:space="preserve"> </w:t>
      </w:r>
      <w:hyperlink r:id="rId6" w:history="1">
        <w:r w:rsidRPr="00470342">
          <w:rPr>
            <w:rStyle w:val="Hyperlink"/>
            <w:sz w:val="16"/>
            <w:szCs w:val="16"/>
          </w:rPr>
          <w:t>http://www.cbc.ca/news/canada/manitoba/bad-water-third-world-conditions-on-first-nations-in-canada-1.3269500</w:t>
        </w:r>
      </w:hyperlink>
    </w:p>
  </w:footnote>
  <w:footnote w:id="7">
    <w:p w14:paraId="2DC787A5" w14:textId="29EE9C01" w:rsidR="00AE6EFA" w:rsidRPr="00470342" w:rsidRDefault="00AE6EFA" w:rsidP="00440EDC">
      <w:pPr>
        <w:pStyle w:val="FootnoteText"/>
        <w:rPr>
          <w:sz w:val="16"/>
          <w:szCs w:val="16"/>
        </w:rPr>
      </w:pPr>
      <w:r w:rsidRPr="00470342">
        <w:rPr>
          <w:rStyle w:val="FootnoteReference"/>
          <w:sz w:val="16"/>
          <w:szCs w:val="16"/>
        </w:rPr>
        <w:footnoteRef/>
      </w:r>
      <w:r w:rsidRPr="00470342">
        <w:rPr>
          <w:sz w:val="16"/>
          <w:szCs w:val="16"/>
        </w:rPr>
        <w:t xml:space="preserve"> </w:t>
      </w:r>
      <w:r w:rsidR="00B04DD4">
        <w:rPr>
          <w:sz w:val="16"/>
          <w:szCs w:val="16"/>
        </w:rPr>
        <w:t>See</w:t>
      </w:r>
      <w:r w:rsidR="00B04DD4">
        <w:t xml:space="preserve"> </w:t>
      </w:r>
      <w:hyperlink r:id="rId7" w:history="1">
        <w:r w:rsidRPr="00470342">
          <w:rPr>
            <w:rStyle w:val="Hyperlink"/>
            <w:sz w:val="16"/>
            <w:szCs w:val="16"/>
          </w:rPr>
          <w:t>https://www.fraserinstitute.org/sites/default/files/home-schooling-in-canada-2015-rev2.pdf</w:t>
        </w:r>
      </w:hyperlink>
      <w:r w:rsidRPr="00470342">
        <w:rPr>
          <w:rStyle w:val="Hyperlink"/>
          <w:sz w:val="16"/>
          <w:szCs w:val="16"/>
        </w:rPr>
        <w:t xml:space="preserve">, </w:t>
      </w:r>
    </w:p>
  </w:footnote>
  <w:footnote w:id="8">
    <w:p w14:paraId="5AAB92F1" w14:textId="3430065E" w:rsidR="00AE6EFA" w:rsidRDefault="00AE6EFA" w:rsidP="00440EDC">
      <w:pPr>
        <w:pStyle w:val="FootnoteText"/>
      </w:pPr>
      <w:r w:rsidRPr="00470342">
        <w:rPr>
          <w:rStyle w:val="FootnoteReference"/>
          <w:sz w:val="16"/>
          <w:szCs w:val="16"/>
        </w:rPr>
        <w:footnoteRef/>
      </w:r>
      <w:r w:rsidRPr="00470342">
        <w:rPr>
          <w:sz w:val="16"/>
          <w:szCs w:val="16"/>
        </w:rPr>
        <w:t xml:space="preserve"> </w:t>
      </w:r>
      <w:r w:rsidR="00B04DD4">
        <w:rPr>
          <w:sz w:val="16"/>
          <w:szCs w:val="16"/>
        </w:rPr>
        <w:t>See</w:t>
      </w:r>
      <w:r w:rsidR="00B04DD4">
        <w:t xml:space="preserve"> </w:t>
      </w:r>
      <w:hyperlink r:id="rId8" w:history="1">
        <w:r w:rsidRPr="00470342">
          <w:rPr>
            <w:rStyle w:val="Hyperlink"/>
            <w:sz w:val="16"/>
            <w:szCs w:val="16"/>
          </w:rPr>
          <w:t>https://www.aadnc-aandc.gc.ca/eng/1450708959037/1450709026045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2F5B3" w14:textId="345F264A" w:rsidR="00E43DBA" w:rsidRDefault="00E43DBA">
    <w:pPr>
      <w:pStyle w:val="Header"/>
    </w:pPr>
    <w:r>
      <w:rPr>
        <w:noProof/>
        <w:lang w:val="en-US"/>
      </w:rPr>
      <w:drawing>
        <wp:inline distT="0" distB="0" distL="0" distR="0" wp14:anchorId="7C03BDA9" wp14:editId="24999E5A">
          <wp:extent cx="818984" cy="453371"/>
          <wp:effectExtent l="0" t="0" r="635" b="4445"/>
          <wp:docPr id="1073741825" name="officeArt object" descr="R:\Communications\Logos\RESULTS Canada logos\ENGLISHwithTAG\FOR PRINT\RED\rcanlogo.tif"/>
          <wp:cNvGraphicFramePr/>
          <a:graphic xmlns:a="http://schemas.openxmlformats.org/drawingml/2006/main">
            <a:graphicData uri="http://schemas.openxmlformats.org/drawingml/2006/picture">
              <pic:pic xmlns:pic="http://schemas.openxmlformats.org/drawingml/2006/picture">
                <pic:nvPicPr>
                  <pic:cNvPr id="1073741825" name="image1.png" descr="R:\Communications\Logos\RESULTS Canada logos\ENGLISHwithTAG\FOR PRINT\RED\rcanlogo.tif"/>
                  <pic:cNvPicPr/>
                </pic:nvPicPr>
                <pic:blipFill>
                  <a:blip r:embed="rId1">
                    <a:extLst/>
                  </a:blip>
                  <a:stretch>
                    <a:fillRect/>
                  </a:stretch>
                </pic:blipFill>
                <pic:spPr>
                  <a:xfrm>
                    <a:off x="0" y="0"/>
                    <a:ext cx="832453" cy="460827"/>
                  </a:xfrm>
                  <a:prstGeom prst="rect">
                    <a:avLst/>
                  </a:prstGeom>
                  <a:ln w="12700" cap="flat">
                    <a:noFill/>
                    <a:miter lim="400000"/>
                  </a:ln>
                  <a:effectLst/>
                </pic:spPr>
              </pic:pic>
            </a:graphicData>
          </a:graphic>
        </wp:inline>
      </w:drawing>
    </w:r>
  </w:p>
  <w:p w14:paraId="3CBAED0B" w14:textId="77777777" w:rsidR="00E43DBA" w:rsidRDefault="00E43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36B2"/>
    <w:multiLevelType w:val="hybridMultilevel"/>
    <w:tmpl w:val="18363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F361E5"/>
    <w:multiLevelType w:val="hybridMultilevel"/>
    <w:tmpl w:val="259063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1A6053"/>
    <w:multiLevelType w:val="hybridMultilevel"/>
    <w:tmpl w:val="1C869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08"/>
    <w:rsid w:val="00012FF7"/>
    <w:rsid w:val="00016F41"/>
    <w:rsid w:val="00070C85"/>
    <w:rsid w:val="000955BB"/>
    <w:rsid w:val="000968F4"/>
    <w:rsid w:val="000C1938"/>
    <w:rsid w:val="000E4F51"/>
    <w:rsid w:val="000F056F"/>
    <w:rsid w:val="000F244C"/>
    <w:rsid w:val="00101608"/>
    <w:rsid w:val="0012726D"/>
    <w:rsid w:val="001876BA"/>
    <w:rsid w:val="001C1106"/>
    <w:rsid w:val="00205A1B"/>
    <w:rsid w:val="00217CDB"/>
    <w:rsid w:val="00224FA5"/>
    <w:rsid w:val="00262D5E"/>
    <w:rsid w:val="0028617C"/>
    <w:rsid w:val="002A147C"/>
    <w:rsid w:val="002A45D2"/>
    <w:rsid w:val="002E61F4"/>
    <w:rsid w:val="002E7F90"/>
    <w:rsid w:val="003106B8"/>
    <w:rsid w:val="0031156D"/>
    <w:rsid w:val="0031280E"/>
    <w:rsid w:val="003364F8"/>
    <w:rsid w:val="00355122"/>
    <w:rsid w:val="0039030E"/>
    <w:rsid w:val="00434A16"/>
    <w:rsid w:val="00440EDC"/>
    <w:rsid w:val="00452CC3"/>
    <w:rsid w:val="00466165"/>
    <w:rsid w:val="00470342"/>
    <w:rsid w:val="004733CE"/>
    <w:rsid w:val="004B0164"/>
    <w:rsid w:val="004B66A2"/>
    <w:rsid w:val="004C2137"/>
    <w:rsid w:val="004E0EB2"/>
    <w:rsid w:val="00500D8C"/>
    <w:rsid w:val="005148B5"/>
    <w:rsid w:val="005A4D58"/>
    <w:rsid w:val="00625D16"/>
    <w:rsid w:val="0063296C"/>
    <w:rsid w:val="00633EF9"/>
    <w:rsid w:val="00663B6E"/>
    <w:rsid w:val="00670AF1"/>
    <w:rsid w:val="006D1596"/>
    <w:rsid w:val="006D4D13"/>
    <w:rsid w:val="00706211"/>
    <w:rsid w:val="00706795"/>
    <w:rsid w:val="007263CC"/>
    <w:rsid w:val="00734F0F"/>
    <w:rsid w:val="007A62FC"/>
    <w:rsid w:val="007B0B6C"/>
    <w:rsid w:val="007F5D93"/>
    <w:rsid w:val="00801FE3"/>
    <w:rsid w:val="008030DD"/>
    <w:rsid w:val="00812D7A"/>
    <w:rsid w:val="00813DAE"/>
    <w:rsid w:val="00844CA3"/>
    <w:rsid w:val="00880762"/>
    <w:rsid w:val="00882ACB"/>
    <w:rsid w:val="00941923"/>
    <w:rsid w:val="009531C6"/>
    <w:rsid w:val="00986807"/>
    <w:rsid w:val="009A2932"/>
    <w:rsid w:val="009B4E5F"/>
    <w:rsid w:val="009E2D5A"/>
    <w:rsid w:val="009E68B6"/>
    <w:rsid w:val="009F3B02"/>
    <w:rsid w:val="00A36311"/>
    <w:rsid w:val="00AB05FC"/>
    <w:rsid w:val="00AB4E9C"/>
    <w:rsid w:val="00AC0919"/>
    <w:rsid w:val="00AD1E46"/>
    <w:rsid w:val="00AD7C1F"/>
    <w:rsid w:val="00AE6EFA"/>
    <w:rsid w:val="00AF404F"/>
    <w:rsid w:val="00B04DD4"/>
    <w:rsid w:val="00B32243"/>
    <w:rsid w:val="00B34800"/>
    <w:rsid w:val="00B433DD"/>
    <w:rsid w:val="00B47E24"/>
    <w:rsid w:val="00B5142F"/>
    <w:rsid w:val="00BA0BED"/>
    <w:rsid w:val="00BE24A0"/>
    <w:rsid w:val="00BE5BFC"/>
    <w:rsid w:val="00C07FA1"/>
    <w:rsid w:val="00C34C6F"/>
    <w:rsid w:val="00C53AE9"/>
    <w:rsid w:val="00C7012E"/>
    <w:rsid w:val="00CC52B2"/>
    <w:rsid w:val="00CE090C"/>
    <w:rsid w:val="00CF075C"/>
    <w:rsid w:val="00D06D2C"/>
    <w:rsid w:val="00D4568B"/>
    <w:rsid w:val="00D6343C"/>
    <w:rsid w:val="00DB7E6F"/>
    <w:rsid w:val="00DD147F"/>
    <w:rsid w:val="00DE6DC6"/>
    <w:rsid w:val="00E43DBA"/>
    <w:rsid w:val="00E76015"/>
    <w:rsid w:val="00E96C68"/>
    <w:rsid w:val="00EA0647"/>
    <w:rsid w:val="00EA4E5D"/>
    <w:rsid w:val="00EA7D25"/>
    <w:rsid w:val="00ED68F0"/>
    <w:rsid w:val="00F46FD7"/>
    <w:rsid w:val="00F64DEB"/>
    <w:rsid w:val="00F83427"/>
    <w:rsid w:val="00F93D72"/>
    <w:rsid w:val="00FB3341"/>
    <w:rsid w:val="00FC435F"/>
    <w:rsid w:val="00FD50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3A8C5E"/>
  <w15:docId w15:val="{7AD2496E-EA03-4D76-B1DF-AA8BD9A8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6F41"/>
  </w:style>
  <w:style w:type="paragraph" w:styleId="Heading1">
    <w:name w:val="heading 1"/>
    <w:basedOn w:val="Normal"/>
    <w:next w:val="Normal"/>
    <w:link w:val="Heading1Char"/>
    <w:uiPriority w:val="9"/>
    <w:qFormat/>
    <w:rsid w:val="00016F41"/>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Heading2">
    <w:name w:val="heading 2"/>
    <w:basedOn w:val="Normal"/>
    <w:next w:val="Normal"/>
    <w:link w:val="Heading2Char"/>
    <w:uiPriority w:val="9"/>
    <w:unhideWhenUsed/>
    <w:qFormat/>
    <w:rsid w:val="00016F4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16F41"/>
    <w:pPr>
      <w:keepNext/>
      <w:keepLines/>
      <w:spacing w:before="40" w:after="0" w:line="240" w:lineRule="auto"/>
      <w:outlineLvl w:val="2"/>
    </w:pPr>
    <w:rPr>
      <w:rFonts w:asciiTheme="majorHAnsi" w:eastAsiaTheme="majorEastAsia" w:hAnsiTheme="majorHAnsi" w:cstheme="majorBidi"/>
      <w:color w:val="C00000" w:themeColor="text2"/>
      <w:sz w:val="24"/>
      <w:szCs w:val="24"/>
    </w:rPr>
  </w:style>
  <w:style w:type="paragraph" w:styleId="Heading4">
    <w:name w:val="heading 4"/>
    <w:basedOn w:val="Normal"/>
    <w:next w:val="Normal"/>
    <w:link w:val="Heading4Char"/>
    <w:uiPriority w:val="9"/>
    <w:semiHidden/>
    <w:unhideWhenUsed/>
    <w:qFormat/>
    <w:rsid w:val="00016F4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16F41"/>
    <w:pPr>
      <w:keepNext/>
      <w:keepLines/>
      <w:spacing w:before="40" w:after="0"/>
      <w:outlineLvl w:val="4"/>
    </w:pPr>
    <w:rPr>
      <w:rFonts w:asciiTheme="majorHAnsi" w:eastAsiaTheme="majorEastAsia" w:hAnsiTheme="majorHAnsi" w:cstheme="majorBidi"/>
      <w:color w:val="C00000" w:themeColor="text2"/>
      <w:sz w:val="22"/>
      <w:szCs w:val="22"/>
    </w:rPr>
  </w:style>
  <w:style w:type="paragraph" w:styleId="Heading6">
    <w:name w:val="heading 6"/>
    <w:basedOn w:val="Normal"/>
    <w:next w:val="Normal"/>
    <w:link w:val="Heading6Char"/>
    <w:uiPriority w:val="9"/>
    <w:semiHidden/>
    <w:unhideWhenUsed/>
    <w:qFormat/>
    <w:rsid w:val="00016F41"/>
    <w:pPr>
      <w:keepNext/>
      <w:keepLines/>
      <w:spacing w:before="40" w:after="0"/>
      <w:outlineLvl w:val="5"/>
    </w:pPr>
    <w:rPr>
      <w:rFonts w:asciiTheme="majorHAnsi" w:eastAsiaTheme="majorEastAsia" w:hAnsiTheme="majorHAnsi" w:cstheme="majorBidi"/>
      <w:i/>
      <w:iCs/>
      <w:color w:val="C00000" w:themeColor="text2"/>
      <w:sz w:val="21"/>
      <w:szCs w:val="21"/>
    </w:rPr>
  </w:style>
  <w:style w:type="paragraph" w:styleId="Heading7">
    <w:name w:val="heading 7"/>
    <w:basedOn w:val="Normal"/>
    <w:next w:val="Normal"/>
    <w:link w:val="Heading7Char"/>
    <w:uiPriority w:val="9"/>
    <w:semiHidden/>
    <w:unhideWhenUsed/>
    <w:qFormat/>
    <w:rsid w:val="00016F41"/>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Heading8">
    <w:name w:val="heading 8"/>
    <w:basedOn w:val="Normal"/>
    <w:next w:val="Normal"/>
    <w:link w:val="Heading8Char"/>
    <w:uiPriority w:val="9"/>
    <w:semiHidden/>
    <w:unhideWhenUsed/>
    <w:qFormat/>
    <w:rsid w:val="00016F41"/>
    <w:pPr>
      <w:keepNext/>
      <w:keepLines/>
      <w:spacing w:before="40" w:after="0"/>
      <w:outlineLvl w:val="7"/>
    </w:pPr>
    <w:rPr>
      <w:rFonts w:asciiTheme="majorHAnsi" w:eastAsiaTheme="majorEastAsia" w:hAnsiTheme="majorHAnsi" w:cstheme="majorBidi"/>
      <w:b/>
      <w:bCs/>
      <w:color w:val="C00000" w:themeColor="text2"/>
    </w:rPr>
  </w:style>
  <w:style w:type="paragraph" w:styleId="Heading9">
    <w:name w:val="heading 9"/>
    <w:basedOn w:val="Normal"/>
    <w:next w:val="Normal"/>
    <w:link w:val="Heading9Char"/>
    <w:uiPriority w:val="9"/>
    <w:semiHidden/>
    <w:unhideWhenUsed/>
    <w:qFormat/>
    <w:rsid w:val="00016F41"/>
    <w:pPr>
      <w:keepNext/>
      <w:keepLines/>
      <w:spacing w:before="40" w:after="0"/>
      <w:outlineLvl w:val="8"/>
    </w:pPr>
    <w:rPr>
      <w:rFonts w:asciiTheme="majorHAnsi" w:eastAsiaTheme="majorEastAsia" w:hAnsiTheme="majorHAnsi" w:cstheme="majorBidi"/>
      <w:b/>
      <w:bCs/>
      <w:i/>
      <w:iCs/>
      <w:color w:val="C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08"/>
    <w:pPr>
      <w:ind w:left="720"/>
      <w:contextualSpacing/>
    </w:pPr>
  </w:style>
  <w:style w:type="character" w:styleId="Hyperlink">
    <w:name w:val="Hyperlink"/>
    <w:basedOn w:val="DefaultParagraphFont"/>
    <w:uiPriority w:val="99"/>
    <w:unhideWhenUsed/>
    <w:rsid w:val="00670AF1"/>
    <w:rPr>
      <w:color w:val="0563C1" w:themeColor="hyperlink"/>
      <w:u w:val="single"/>
    </w:rPr>
  </w:style>
  <w:style w:type="character" w:styleId="FollowedHyperlink">
    <w:name w:val="FollowedHyperlink"/>
    <w:basedOn w:val="DefaultParagraphFont"/>
    <w:uiPriority w:val="99"/>
    <w:semiHidden/>
    <w:unhideWhenUsed/>
    <w:rsid w:val="00941923"/>
    <w:rPr>
      <w:color w:val="954F72" w:themeColor="followedHyperlink"/>
      <w:u w:val="single"/>
    </w:rPr>
  </w:style>
  <w:style w:type="character" w:customStyle="1" w:styleId="Heading1Char">
    <w:name w:val="Heading 1 Char"/>
    <w:basedOn w:val="DefaultParagraphFont"/>
    <w:link w:val="Heading1"/>
    <w:uiPriority w:val="9"/>
    <w:rsid w:val="00016F41"/>
    <w:rPr>
      <w:rFonts w:asciiTheme="majorHAnsi" w:eastAsiaTheme="majorEastAsia" w:hAnsiTheme="majorHAnsi" w:cstheme="majorBidi"/>
      <w:color w:val="8F0000" w:themeColor="accent1" w:themeShade="BF"/>
      <w:sz w:val="32"/>
      <w:szCs w:val="32"/>
    </w:rPr>
  </w:style>
  <w:style w:type="paragraph" w:styleId="NoSpacing">
    <w:name w:val="No Spacing"/>
    <w:uiPriority w:val="1"/>
    <w:qFormat/>
    <w:rsid w:val="00016F41"/>
    <w:pPr>
      <w:spacing w:after="0" w:line="240" w:lineRule="auto"/>
    </w:pPr>
  </w:style>
  <w:style w:type="table" w:styleId="TableGrid">
    <w:name w:val="Table Grid"/>
    <w:basedOn w:val="TableNormal"/>
    <w:uiPriority w:val="59"/>
    <w:rsid w:val="00EA4E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16F41"/>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leChar">
    <w:name w:val="Title Char"/>
    <w:basedOn w:val="DefaultParagraphFont"/>
    <w:link w:val="Title"/>
    <w:uiPriority w:val="10"/>
    <w:rsid w:val="00016F41"/>
    <w:rPr>
      <w:rFonts w:asciiTheme="majorHAnsi" w:eastAsiaTheme="majorEastAsia" w:hAnsiTheme="majorHAnsi" w:cstheme="majorBidi"/>
      <w:color w:val="C00000" w:themeColor="accent1"/>
      <w:spacing w:val="-10"/>
      <w:sz w:val="56"/>
      <w:szCs w:val="56"/>
    </w:rPr>
  </w:style>
  <w:style w:type="character" w:customStyle="1" w:styleId="Heading2Char">
    <w:name w:val="Heading 2 Char"/>
    <w:basedOn w:val="DefaultParagraphFont"/>
    <w:link w:val="Heading2"/>
    <w:uiPriority w:val="9"/>
    <w:rsid w:val="00016F4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16F41"/>
    <w:rPr>
      <w:rFonts w:asciiTheme="majorHAnsi" w:eastAsiaTheme="majorEastAsia" w:hAnsiTheme="majorHAnsi" w:cstheme="majorBidi"/>
      <w:color w:val="C00000" w:themeColor="text2"/>
      <w:sz w:val="24"/>
      <w:szCs w:val="24"/>
    </w:rPr>
  </w:style>
  <w:style w:type="character" w:customStyle="1" w:styleId="Heading4Char">
    <w:name w:val="Heading 4 Char"/>
    <w:basedOn w:val="DefaultParagraphFont"/>
    <w:link w:val="Heading4"/>
    <w:uiPriority w:val="9"/>
    <w:semiHidden/>
    <w:rsid w:val="00016F4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16F41"/>
    <w:rPr>
      <w:rFonts w:asciiTheme="majorHAnsi" w:eastAsiaTheme="majorEastAsia" w:hAnsiTheme="majorHAnsi" w:cstheme="majorBidi"/>
      <w:color w:val="C00000" w:themeColor="text2"/>
      <w:sz w:val="22"/>
      <w:szCs w:val="22"/>
    </w:rPr>
  </w:style>
  <w:style w:type="character" w:customStyle="1" w:styleId="Heading6Char">
    <w:name w:val="Heading 6 Char"/>
    <w:basedOn w:val="DefaultParagraphFont"/>
    <w:link w:val="Heading6"/>
    <w:uiPriority w:val="9"/>
    <w:semiHidden/>
    <w:rsid w:val="00016F41"/>
    <w:rPr>
      <w:rFonts w:asciiTheme="majorHAnsi" w:eastAsiaTheme="majorEastAsia" w:hAnsiTheme="majorHAnsi" w:cstheme="majorBidi"/>
      <w:i/>
      <w:iCs/>
      <w:color w:val="C00000" w:themeColor="text2"/>
      <w:sz w:val="21"/>
      <w:szCs w:val="21"/>
    </w:rPr>
  </w:style>
  <w:style w:type="character" w:customStyle="1" w:styleId="Heading7Char">
    <w:name w:val="Heading 7 Char"/>
    <w:basedOn w:val="DefaultParagraphFont"/>
    <w:link w:val="Heading7"/>
    <w:uiPriority w:val="9"/>
    <w:semiHidden/>
    <w:rsid w:val="00016F41"/>
    <w:rPr>
      <w:rFonts w:asciiTheme="majorHAnsi" w:eastAsiaTheme="majorEastAsia" w:hAnsiTheme="majorHAnsi" w:cstheme="majorBidi"/>
      <w:i/>
      <w:iCs/>
      <w:color w:val="600000" w:themeColor="accent1" w:themeShade="80"/>
      <w:sz w:val="21"/>
      <w:szCs w:val="21"/>
    </w:rPr>
  </w:style>
  <w:style w:type="character" w:customStyle="1" w:styleId="Heading8Char">
    <w:name w:val="Heading 8 Char"/>
    <w:basedOn w:val="DefaultParagraphFont"/>
    <w:link w:val="Heading8"/>
    <w:uiPriority w:val="9"/>
    <w:semiHidden/>
    <w:rsid w:val="00016F41"/>
    <w:rPr>
      <w:rFonts w:asciiTheme="majorHAnsi" w:eastAsiaTheme="majorEastAsia" w:hAnsiTheme="majorHAnsi" w:cstheme="majorBidi"/>
      <w:b/>
      <w:bCs/>
      <w:color w:val="C00000" w:themeColor="text2"/>
    </w:rPr>
  </w:style>
  <w:style w:type="character" w:customStyle="1" w:styleId="Heading9Char">
    <w:name w:val="Heading 9 Char"/>
    <w:basedOn w:val="DefaultParagraphFont"/>
    <w:link w:val="Heading9"/>
    <w:uiPriority w:val="9"/>
    <w:semiHidden/>
    <w:rsid w:val="00016F41"/>
    <w:rPr>
      <w:rFonts w:asciiTheme="majorHAnsi" w:eastAsiaTheme="majorEastAsia" w:hAnsiTheme="majorHAnsi" w:cstheme="majorBidi"/>
      <w:b/>
      <w:bCs/>
      <w:i/>
      <w:iCs/>
      <w:color w:val="C00000" w:themeColor="text2"/>
    </w:rPr>
  </w:style>
  <w:style w:type="paragraph" w:styleId="Caption">
    <w:name w:val="caption"/>
    <w:basedOn w:val="Normal"/>
    <w:next w:val="Normal"/>
    <w:uiPriority w:val="35"/>
    <w:semiHidden/>
    <w:unhideWhenUsed/>
    <w:qFormat/>
    <w:rsid w:val="00016F41"/>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16F4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16F41"/>
    <w:rPr>
      <w:rFonts w:asciiTheme="majorHAnsi" w:eastAsiaTheme="majorEastAsia" w:hAnsiTheme="majorHAnsi" w:cstheme="majorBidi"/>
      <w:sz w:val="24"/>
      <w:szCs w:val="24"/>
    </w:rPr>
  </w:style>
  <w:style w:type="character" w:styleId="Strong">
    <w:name w:val="Strong"/>
    <w:basedOn w:val="DefaultParagraphFont"/>
    <w:uiPriority w:val="22"/>
    <w:qFormat/>
    <w:rsid w:val="00016F41"/>
    <w:rPr>
      <w:b/>
      <w:bCs/>
    </w:rPr>
  </w:style>
  <w:style w:type="character" w:styleId="Emphasis">
    <w:name w:val="Emphasis"/>
    <w:basedOn w:val="DefaultParagraphFont"/>
    <w:uiPriority w:val="20"/>
    <w:qFormat/>
    <w:rsid w:val="00016F41"/>
    <w:rPr>
      <w:i/>
      <w:iCs/>
    </w:rPr>
  </w:style>
  <w:style w:type="paragraph" w:styleId="Quote">
    <w:name w:val="Quote"/>
    <w:basedOn w:val="Normal"/>
    <w:next w:val="Normal"/>
    <w:link w:val="QuoteChar"/>
    <w:uiPriority w:val="29"/>
    <w:qFormat/>
    <w:rsid w:val="00016F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16F41"/>
    <w:rPr>
      <w:i/>
      <w:iCs/>
      <w:color w:val="404040" w:themeColor="text1" w:themeTint="BF"/>
    </w:rPr>
  </w:style>
  <w:style w:type="paragraph" w:styleId="IntenseQuote">
    <w:name w:val="Intense Quote"/>
    <w:basedOn w:val="Normal"/>
    <w:next w:val="Normal"/>
    <w:link w:val="IntenseQuoteChar"/>
    <w:uiPriority w:val="30"/>
    <w:qFormat/>
    <w:rsid w:val="00016F41"/>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IntenseQuoteChar">
    <w:name w:val="Intense Quote Char"/>
    <w:basedOn w:val="DefaultParagraphFont"/>
    <w:link w:val="IntenseQuote"/>
    <w:uiPriority w:val="30"/>
    <w:rsid w:val="00016F41"/>
    <w:rPr>
      <w:rFonts w:asciiTheme="majorHAnsi" w:eastAsiaTheme="majorEastAsia" w:hAnsiTheme="majorHAnsi" w:cstheme="majorBidi"/>
      <w:color w:val="C00000" w:themeColor="accent1"/>
      <w:sz w:val="28"/>
      <w:szCs w:val="28"/>
    </w:rPr>
  </w:style>
  <w:style w:type="character" w:styleId="SubtleEmphasis">
    <w:name w:val="Subtle Emphasis"/>
    <w:basedOn w:val="DefaultParagraphFont"/>
    <w:uiPriority w:val="19"/>
    <w:qFormat/>
    <w:rsid w:val="00016F41"/>
    <w:rPr>
      <w:i/>
      <w:iCs/>
      <w:color w:val="404040" w:themeColor="text1" w:themeTint="BF"/>
    </w:rPr>
  </w:style>
  <w:style w:type="character" w:styleId="IntenseEmphasis">
    <w:name w:val="Intense Emphasis"/>
    <w:basedOn w:val="DefaultParagraphFont"/>
    <w:uiPriority w:val="21"/>
    <w:qFormat/>
    <w:rsid w:val="00016F41"/>
    <w:rPr>
      <w:b/>
      <w:bCs/>
      <w:i/>
      <w:iCs/>
    </w:rPr>
  </w:style>
  <w:style w:type="character" w:styleId="SubtleReference">
    <w:name w:val="Subtle Reference"/>
    <w:basedOn w:val="DefaultParagraphFont"/>
    <w:uiPriority w:val="31"/>
    <w:qFormat/>
    <w:rsid w:val="00016F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16F41"/>
    <w:rPr>
      <w:b/>
      <w:bCs/>
      <w:smallCaps/>
      <w:spacing w:val="5"/>
      <w:u w:val="single"/>
    </w:rPr>
  </w:style>
  <w:style w:type="character" w:styleId="BookTitle">
    <w:name w:val="Book Title"/>
    <w:basedOn w:val="DefaultParagraphFont"/>
    <w:uiPriority w:val="33"/>
    <w:qFormat/>
    <w:rsid w:val="00016F41"/>
    <w:rPr>
      <w:b/>
      <w:bCs/>
      <w:smallCaps/>
    </w:rPr>
  </w:style>
  <w:style w:type="paragraph" w:styleId="TOCHeading">
    <w:name w:val="TOC Heading"/>
    <w:basedOn w:val="Heading1"/>
    <w:next w:val="Normal"/>
    <w:uiPriority w:val="39"/>
    <w:semiHidden/>
    <w:unhideWhenUsed/>
    <w:qFormat/>
    <w:rsid w:val="00016F41"/>
    <w:pPr>
      <w:outlineLvl w:val="9"/>
    </w:pPr>
  </w:style>
  <w:style w:type="paragraph" w:styleId="EndnoteText">
    <w:name w:val="endnote text"/>
    <w:basedOn w:val="Normal"/>
    <w:link w:val="EndnoteTextChar"/>
    <w:uiPriority w:val="99"/>
    <w:semiHidden/>
    <w:unhideWhenUsed/>
    <w:rsid w:val="00217CDB"/>
    <w:pPr>
      <w:spacing w:after="0" w:line="240" w:lineRule="auto"/>
    </w:pPr>
  </w:style>
  <w:style w:type="character" w:customStyle="1" w:styleId="EndnoteTextChar">
    <w:name w:val="Endnote Text Char"/>
    <w:basedOn w:val="DefaultParagraphFont"/>
    <w:link w:val="EndnoteText"/>
    <w:uiPriority w:val="99"/>
    <w:semiHidden/>
    <w:rsid w:val="00217CDB"/>
  </w:style>
  <w:style w:type="character" w:styleId="EndnoteReference">
    <w:name w:val="endnote reference"/>
    <w:basedOn w:val="DefaultParagraphFont"/>
    <w:uiPriority w:val="99"/>
    <w:semiHidden/>
    <w:unhideWhenUsed/>
    <w:rsid w:val="00217CDB"/>
    <w:rPr>
      <w:vertAlign w:val="superscript"/>
    </w:rPr>
  </w:style>
  <w:style w:type="paragraph" w:styleId="Header">
    <w:name w:val="header"/>
    <w:basedOn w:val="Normal"/>
    <w:link w:val="HeaderChar"/>
    <w:uiPriority w:val="99"/>
    <w:unhideWhenUsed/>
    <w:rsid w:val="00E43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DBA"/>
  </w:style>
  <w:style w:type="paragraph" w:styleId="Footer">
    <w:name w:val="footer"/>
    <w:basedOn w:val="Normal"/>
    <w:link w:val="FooterChar"/>
    <w:uiPriority w:val="99"/>
    <w:unhideWhenUsed/>
    <w:rsid w:val="00E43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DBA"/>
  </w:style>
  <w:style w:type="paragraph" w:styleId="FootnoteText">
    <w:name w:val="footnote text"/>
    <w:basedOn w:val="Normal"/>
    <w:link w:val="FootnoteTextChar"/>
    <w:uiPriority w:val="99"/>
    <w:semiHidden/>
    <w:unhideWhenUsed/>
    <w:rsid w:val="00AE6EFA"/>
    <w:pPr>
      <w:spacing w:after="0" w:line="240" w:lineRule="auto"/>
    </w:pPr>
  </w:style>
  <w:style w:type="character" w:customStyle="1" w:styleId="FootnoteTextChar">
    <w:name w:val="Footnote Text Char"/>
    <w:basedOn w:val="DefaultParagraphFont"/>
    <w:link w:val="FootnoteText"/>
    <w:uiPriority w:val="99"/>
    <w:semiHidden/>
    <w:rsid w:val="00AE6EFA"/>
  </w:style>
  <w:style w:type="character" w:styleId="FootnoteReference">
    <w:name w:val="footnote reference"/>
    <w:basedOn w:val="DefaultParagraphFont"/>
    <w:uiPriority w:val="99"/>
    <w:semiHidden/>
    <w:unhideWhenUsed/>
    <w:rsid w:val="00AE6EFA"/>
    <w:rPr>
      <w:vertAlign w:val="superscript"/>
    </w:rPr>
  </w:style>
  <w:style w:type="paragraph" w:styleId="BalloonText">
    <w:name w:val="Balloon Text"/>
    <w:basedOn w:val="Normal"/>
    <w:link w:val="BalloonTextChar"/>
    <w:uiPriority w:val="99"/>
    <w:semiHidden/>
    <w:unhideWhenUsed/>
    <w:rsid w:val="00DD1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47F"/>
    <w:rPr>
      <w:rFonts w:ascii="Tahoma" w:hAnsi="Tahoma" w:cs="Tahoma"/>
      <w:sz w:val="16"/>
      <w:szCs w:val="16"/>
    </w:rPr>
  </w:style>
  <w:style w:type="character" w:styleId="CommentReference">
    <w:name w:val="annotation reference"/>
    <w:basedOn w:val="DefaultParagraphFont"/>
    <w:uiPriority w:val="99"/>
    <w:semiHidden/>
    <w:unhideWhenUsed/>
    <w:rsid w:val="007F5D93"/>
    <w:rPr>
      <w:sz w:val="16"/>
      <w:szCs w:val="16"/>
    </w:rPr>
  </w:style>
  <w:style w:type="paragraph" w:styleId="CommentText">
    <w:name w:val="annotation text"/>
    <w:basedOn w:val="Normal"/>
    <w:link w:val="CommentTextChar"/>
    <w:uiPriority w:val="99"/>
    <w:semiHidden/>
    <w:unhideWhenUsed/>
    <w:rsid w:val="007F5D93"/>
    <w:pPr>
      <w:spacing w:line="240" w:lineRule="auto"/>
    </w:pPr>
  </w:style>
  <w:style w:type="character" w:customStyle="1" w:styleId="CommentTextChar">
    <w:name w:val="Comment Text Char"/>
    <w:basedOn w:val="DefaultParagraphFont"/>
    <w:link w:val="CommentText"/>
    <w:uiPriority w:val="99"/>
    <w:semiHidden/>
    <w:rsid w:val="007F5D93"/>
  </w:style>
  <w:style w:type="paragraph" w:styleId="CommentSubject">
    <w:name w:val="annotation subject"/>
    <w:basedOn w:val="CommentText"/>
    <w:next w:val="CommentText"/>
    <w:link w:val="CommentSubjectChar"/>
    <w:uiPriority w:val="99"/>
    <w:semiHidden/>
    <w:unhideWhenUsed/>
    <w:rsid w:val="007F5D93"/>
    <w:rPr>
      <w:b/>
      <w:bCs/>
    </w:rPr>
  </w:style>
  <w:style w:type="character" w:customStyle="1" w:styleId="CommentSubjectChar">
    <w:name w:val="Comment Subject Char"/>
    <w:basedOn w:val="CommentTextChar"/>
    <w:link w:val="CommentSubject"/>
    <w:uiPriority w:val="99"/>
    <w:semiHidden/>
    <w:rsid w:val="007F5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aadnc-aandc.gc.ca/eng/1450708959037/1450709026045" TargetMode="External"/><Relationship Id="rId3" Type="http://schemas.openxmlformats.org/officeDocument/2006/relationships/hyperlink" Target="http://www.theglobeandmail.com/news/national/low-graduation-rates-at-reserve-schools-put-aboriginals-in-jeopardy-report/article28427544/" TargetMode="External"/><Relationship Id="rId7" Type="http://schemas.openxmlformats.org/officeDocument/2006/relationships/hyperlink" Target="https://www.fraserinstitute.org/sites/default/files/home-schooling-in-canada-2015-rev2.pdf" TargetMode="External"/><Relationship Id="rId2" Type="http://schemas.openxmlformats.org/officeDocument/2006/relationships/hyperlink" Target="https://www12.statcan.gc.ca/nhs-enm/2011/as-sa/99-011-x/99-011-x2011001-eng.cfm" TargetMode="External"/><Relationship Id="rId1" Type="http://schemas.openxmlformats.org/officeDocument/2006/relationships/hyperlink" Target="https://www.ontario.ca/laws/statute/90e02" TargetMode="External"/><Relationship Id="rId6" Type="http://schemas.openxmlformats.org/officeDocument/2006/relationships/hyperlink" Target="http://www.cbc.ca/news/canada/manitoba/bad-water-third-world-conditions-on-first-nations-in-canada-1.3269500" TargetMode="External"/><Relationship Id="rId5" Type="http://schemas.openxmlformats.org/officeDocument/2006/relationships/hyperlink" Target="http://www.hc-sc.gc.ca/fniah-spnia/promotion/public-publique/water-dwa-eau-aqep-eng.php" TargetMode="External"/><Relationship Id="rId4" Type="http://schemas.openxmlformats.org/officeDocument/2006/relationships/hyperlink" Target="http://www.afn.ca/uploads/files/1_-_fact_sheet_-_a_portrait_of_first_nations_and_educati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CA" sz="1400"/>
              <a:t>High school</a:t>
            </a:r>
            <a:r>
              <a:rPr lang="en-CA" sz="1400" baseline="0"/>
              <a:t> Graduation rates in Canada</a:t>
            </a:r>
          </a:p>
          <a:p>
            <a:pPr>
              <a:defRPr sz="1800" b="1" i="0" u="none" strike="noStrike" kern="1200" cap="all" spc="150" baseline="0">
                <a:solidFill>
                  <a:schemeClr val="tx1">
                    <a:lumMod val="50000"/>
                    <a:lumOff val="50000"/>
                  </a:schemeClr>
                </a:solidFill>
                <a:latin typeface="+mn-lt"/>
                <a:ea typeface="+mn-ea"/>
                <a:cs typeface="+mn-cs"/>
              </a:defRPr>
            </a:pPr>
            <a:endParaRPr lang="en-CA" sz="1400"/>
          </a:p>
        </c:rich>
      </c:tx>
      <c:overlay val="0"/>
      <c:spPr>
        <a:noFill/>
        <a:ln>
          <a:noFill/>
        </a:ln>
        <a:effectLst/>
      </c:spPr>
    </c:title>
    <c:autoTitleDeleted val="0"/>
    <c:plotArea>
      <c:layout/>
      <c:barChart>
        <c:barDir val="col"/>
        <c:grouping val="clustered"/>
        <c:varyColors val="0"/>
        <c:ser>
          <c:idx val="0"/>
          <c:order val="0"/>
          <c:tx>
            <c:strRef>
              <c:f>Sheet1!$B$1</c:f>
              <c:strCache>
                <c:ptCount val="1"/>
                <c:pt idx="0">
                  <c:v>Highschool Graduation Rate</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Non-Aboriginal</c:v>
                </c:pt>
                <c:pt idx="1">
                  <c:v>Aboriginal Off Reserve</c:v>
                </c:pt>
                <c:pt idx="2">
                  <c:v>Aboriginal on Reserve</c:v>
                </c:pt>
              </c:strCache>
            </c:strRef>
          </c:cat>
          <c:val>
            <c:numRef>
              <c:f>Sheet1!$B$2:$B$4</c:f>
              <c:numCache>
                <c:formatCode>0%</c:formatCode>
                <c:ptCount val="3"/>
                <c:pt idx="0">
                  <c:v>0.9</c:v>
                </c:pt>
                <c:pt idx="1">
                  <c:v>0.7</c:v>
                </c:pt>
                <c:pt idx="2">
                  <c:v>0.4</c:v>
                </c:pt>
              </c:numCache>
            </c:numRef>
          </c:val>
          <c:extLst>
            <c:ext xmlns:c16="http://schemas.microsoft.com/office/drawing/2014/chart" uri="{C3380CC4-5D6E-409C-BE32-E72D297353CC}">
              <c16:uniqueId val="{00000000-52B1-40E4-9C18-9B1579692788}"/>
            </c:ext>
          </c:extLst>
        </c:ser>
        <c:dLbls>
          <c:dLblPos val="outEnd"/>
          <c:showLegendKey val="0"/>
          <c:showVal val="1"/>
          <c:showCatName val="0"/>
          <c:showSerName val="0"/>
          <c:showPercent val="0"/>
          <c:showBubbleSize val="0"/>
        </c:dLbls>
        <c:gapWidth val="164"/>
        <c:overlap val="-22"/>
        <c:axId val="350993024"/>
        <c:axId val="275084032"/>
      </c:barChart>
      <c:catAx>
        <c:axId val="350993024"/>
        <c:scaling>
          <c:orientation val="minMax"/>
        </c:scaling>
        <c:delete val="0"/>
        <c:axPos val="b"/>
        <c:numFmt formatCode="General" sourceLinked="1"/>
        <c:majorTickMark val="out"/>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5084032"/>
        <c:crosses val="autoZero"/>
        <c:auto val="1"/>
        <c:lblAlgn val="ctr"/>
        <c:lblOffset val="100"/>
        <c:noMultiLvlLbl val="0"/>
      </c:catAx>
      <c:valAx>
        <c:axId val="275084032"/>
        <c:scaling>
          <c:orientation val="minMax"/>
        </c:scaling>
        <c:delete val="1"/>
        <c:axPos val="l"/>
        <c:numFmt formatCode="0%" sourceLinked="1"/>
        <c:majorTickMark val="out"/>
        <c:minorTickMark val="none"/>
        <c:tickLblPos val="nextTo"/>
        <c:crossAx val="35099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C00000"/>
      </a:dk2>
      <a:lt2>
        <a:srgbClr val="E7E6E6"/>
      </a:lt2>
      <a:accent1>
        <a:srgbClr val="C00000"/>
      </a:accent1>
      <a:accent2>
        <a:srgbClr val="C000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E9B23-F4D3-4458-B220-ED27C43E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Danika</dc:creator>
  <cp:lastModifiedBy>Allyson Krupar</cp:lastModifiedBy>
  <cp:revision>3</cp:revision>
  <dcterms:created xsi:type="dcterms:W3CDTF">2017-05-01T15:00:00Z</dcterms:created>
  <dcterms:modified xsi:type="dcterms:W3CDTF">2017-05-01T15:03:00Z</dcterms:modified>
</cp:coreProperties>
</file>