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ДОГОВОР ПЕРЕВОЗКИ ГРУЗОВ АВТОМОБИЛЬНЫМ ТРАНСПОРТОМ № ____</w:t>
      </w:r>
    </w:p>
    <w:p>
      <w:pPr>
        <w:jc w:val="center"/>
      </w:pPr>
      <w:r>
        <w:rPr>
          <w:i/>
        </w:rPr>
        <w:t>ООО «НОВЫЙ ПРОЕКТ» — Заказчик / контрагент — Перевозчик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</w:tcPr>
          <w:p>
            <w:r>
              <w:t>г. Санкт-Петербург</w:t>
            </w:r>
          </w:p>
        </w:tc>
        <w:tc>
          <w:tcPr>
            <w:tcW w:type="dxa" w:w="5071"/>
          </w:tcPr>
          <w:p>
            <w:r>
              <w:t>«___» __________ 2026 г.</w:t>
            </w:r>
          </w:p>
        </w:tc>
      </w:tr>
    </w:tbl>
    <w:p>
      <w:r>
        <w:t>Общество с ограниченной ответственностью «НОВЫЙ ПРОЕКТ», именуемое «Заказчик», в лице __________________, действующего на основании ____________, и __________________, именуемое «Перевозчик», в лице __________________, заключили настоящий Договор.</w:t>
      </w:r>
    </w:p>
    <w:p>
      <w:pPr>
        <w:pStyle w:val="Heading1"/>
      </w:pPr>
      <w:r>
        <w:t>1. ПРЕДМЕТ ДОГОВОРА</w:t>
      </w:r>
    </w:p>
    <w:p>
      <w:r>
        <w:t>1.1. Перевозчик обязуется по принятым Заказам/Заявкам доставлять вверенный ему груз в пункт назначения и выдавать его управомоченному получателю, а Заказчик обязуется оплачивать перевозку.</w:t>
      </w:r>
    </w:p>
    <w:p>
      <w:r>
        <w:t>1.2. Договор является рамочным. Маршрут, груз, сроки, ТС, ставка и специальные условия определяются по конкретной Заявке/Заказу и ЭТрН.</w:t>
      </w:r>
    </w:p>
    <w:p>
      <w:r>
        <w:t>1.3. Перевозчик подтверждает, что обладает законным основанием для использования заявленного ТС и допуска водителя к перевозке.</w:t>
      </w:r>
    </w:p>
    <w:p>
      <w:pPr>
        <w:pStyle w:val="Heading1"/>
      </w:pPr>
      <w:r>
        <w:t>2. ЗАЯВКА, ЭТрН И ЭПД</w:t>
      </w:r>
    </w:p>
    <w:p>
      <w:r>
        <w:t>2.1. С 01.09.2026 транспортная накладная и заказ/заявка при автомобильной перевозке формируются электронно через оператора ИС ЭПД и ГИС ЭПД, кроме установленных законом исключений.</w:t>
      </w:r>
    </w:p>
    <w:p>
      <w:r>
        <w:t>2.2. Заключение договора конкретной перевозки подтверждается ЭТрН. Если иное не предусмотрено договором перевозки, транспортную накладную составляет грузоотправитель.</w:t>
      </w:r>
    </w:p>
    <w:p>
      <w:r>
        <w:t>2.3. Перевозчик обязан своевременно подписывать относящиеся к нему титулы ЭТрН и обеспечивать участие водителя в предусмотренных процедурах оформления.</w:t>
      </w:r>
    </w:p>
    <w:p>
      <w:r>
        <w:t>2.4. Смешанный бумажно-электронный документооборот по одной перевозке не применяется, кроме предусмотренного нормативными актами режима.</w:t>
      </w:r>
    </w:p>
    <w:p>
      <w:pPr>
        <w:pStyle w:val="Heading1"/>
      </w:pPr>
      <w:r>
        <w:t>3. ПОДАЧА ТС И ВОДИТЕЛЬ</w:t>
      </w:r>
    </w:p>
    <w:p>
      <w:r>
        <w:t>3.1. Перевозчик подает технически исправное, чистое и пригодное для заявленного груза ТС в согласованные дату, время и место.</w:t>
      </w:r>
    </w:p>
    <w:p>
      <w:r>
        <w:t>3.2. До подачи Перевозчик передает Заказчику: наименование/ФИО и ИНН Перевозчика, ФИО и телефон водителя, марку и госномер тягача, госномер прицепа/полуприцепа.</w:t>
      </w:r>
    </w:p>
    <w:p>
      <w:r>
        <w:t>3.3. Замена Перевозчика по настоящему договору не допускается. Передача исполнения перевозки иному перевозчику без предварительного письменного/электронного согласия Заказчика запрещена. Замена водителя или ТС допускается после предварительного уведомления и передачи новых данных.</w:t>
      </w:r>
    </w:p>
    <w:p>
      <w:r>
        <w:t>3.4. Если на погрузку прибыло несогласованное ТС или лицо, Заказчик вправе не допустить его к погрузке до устранения несоответствия.</w:t>
      </w:r>
    </w:p>
    <w:p>
      <w:pPr>
        <w:pStyle w:val="Heading1"/>
      </w:pPr>
      <w:r>
        <w:t>4. ОБЯЗАННОСТИ ПЕРЕВОЗЧИКА</w:t>
      </w:r>
    </w:p>
    <w:p>
      <w:r>
        <w:t>4.1. Обеспечить сохранность груза с момента принятия до выдачи грузополучателю в пределах ответственности, установленной законом.</w:t>
      </w:r>
    </w:p>
    <w:p>
      <w:r>
        <w:t>4.2. Соблюдать маршрут и специальные условия перевозки, включая температурный режим, санитарные требования, требования к креплению и безопасности, если они указаны в Заявке/ЭТрН.</w:t>
      </w:r>
    </w:p>
    <w:p>
      <w:r>
        <w:t>4.3. Контролировать внешнее состояние груза, упаковки и количество грузовых мест при приемке в пределах обязанностей перевозчика; заявлять необходимые оговорки в перевозочных документах.</w:t>
      </w:r>
    </w:p>
    <w:p>
      <w:r>
        <w:t>4.4. Не изменять место доставки, не перегружать груз в другое ТС и не передавать груз третьим лицам без законного основания/указания уполномоченной стороны, кроме аварийных действий для спасения груза.</w:t>
      </w:r>
    </w:p>
    <w:p>
      <w:r>
        <w:t>4.5. При ДТП, поломке, задержке, повреждении, утрате, вскрытии, нарушении пломб или температуры немедленно уведомить Заказчика, принять разумные меры к сохранению груза и оформить необходимые документы.</w:t>
      </w:r>
    </w:p>
    <w:p>
      <w:r>
        <w:t>4.6. После доставки обеспечить корректное завершение ЭТрН и передачу Заказчику предусмотренных договором закрывающих документов.</w:t>
      </w:r>
    </w:p>
    <w:p>
      <w:pPr>
        <w:pStyle w:val="Heading1"/>
      </w:pPr>
      <w:r>
        <w:t>5. ПОГРУЗКА, КРЕПЛЕНИЕ И МАССА</w:t>
      </w:r>
    </w:p>
    <w:p>
      <w:r>
        <w:t>5.1. Обязанности по погрузке, размещению, креплению и выгрузке определяются законодательством, Заявкой и ЭТрН.</w:t>
      </w:r>
    </w:p>
    <w:p>
      <w:r>
        <w:t>5.2. При наличии очевидных недостатков размещения/крепления, угрожающих сохранности или безопасности, Перевозчик обязан заявить об этом до начала движения и действовать в соответствии с законом.</w:t>
      </w:r>
    </w:p>
    <w:p>
      <w:r>
        <w:t>5.3. Перевозчик не вправе сознательно принимать к движению ТС с нарушением обязательных весовых/габаритных требований.</w:t>
      </w:r>
    </w:p>
    <w:p>
      <w:pPr>
        <w:pStyle w:val="Heading1"/>
      </w:pPr>
      <w:r>
        <w:t>6. СТОИМОСТЬ И РАСЧЕТЫ</w:t>
      </w:r>
    </w:p>
    <w:p>
      <w:r>
        <w:t>6.1. Провозная плата определяется в Заявке. Если иное не согласовано: оплата в течение ____ банковских/календарных дней после завершения перевозки и получения надлежащих документов.</w:t>
      </w:r>
    </w:p>
    <w:p>
      <w:r>
        <w:t>6.2. Дополнительные расходы подлежат оплате только при наличии правового/договорного основания и подтверждения.</w:t>
      </w:r>
    </w:p>
    <w:p>
      <w:r>
        <w:t>6.3. Заказчик вправе приостановить оплату спорной части до предоставления документов, необходимых для проверки обоснованности требования, без удержания бесспорной части.</w:t>
      </w:r>
    </w:p>
    <w:p>
      <w:pPr>
        <w:pStyle w:val="Heading1"/>
      </w:pPr>
      <w:r>
        <w:t>7. ПРОСТОЙ И СРЫВ ПОДАЧИ</w:t>
      </w:r>
    </w:p>
    <w:p>
      <w:r>
        <w:t>7.1. Бесплатное время на погрузке: ____ часов; на выгрузке: ____ часов. Стоимость сверхнормативного простоя: ______ руб. за ______.</w:t>
      </w:r>
    </w:p>
    <w:p>
      <w:r>
        <w:t>7.2. Простой оплачивается при документальном/электронном подтверждении времени и причины. Время, вызванное неисправностью ТС, действиями водителя или нарушением Перевозчика, не оплачивается.</w:t>
      </w:r>
    </w:p>
    <w:p>
      <w:r>
        <w:t>7.3. Ответственность за неподачу ТС, опоздание, отказ от согласованного рейса и иные нарушения определяется законом и Заявкой.</w:t>
      </w:r>
    </w:p>
    <w:p>
      <w:pPr>
        <w:pStyle w:val="Heading1"/>
      </w:pPr>
      <w:r>
        <w:t>8. ОТВЕТСТВЕННОСТЬ И ПРЕТЕНЗИИ</w:t>
      </w:r>
    </w:p>
    <w:p>
      <w:r>
        <w:t>8.1. Перевозчик отвечает за груз и нарушение обязательств в соответствии с ГК РФ, Федеральным законом № 259-ФЗ и иными применимыми нормами.</w:t>
      </w:r>
    </w:p>
    <w:p>
      <w:r>
        <w:t>8.2. При утрате, недостаче или повреждении груза Перевозчик участвует в составлении акта, предоставляет объяснения водителя, сведения о ДТП/происшествии, фото и иные имеющиеся материалы.</w:t>
      </w:r>
    </w:p>
    <w:p>
      <w:r>
        <w:t>8.3. Условия договора не исключают обязательную ответственность Перевозчика, если ее ограничение запрещено законом.</w:t>
      </w:r>
    </w:p>
    <w:p>
      <w:r>
        <w:t>8.4. Претензии предъявляются в порядке и сроки, предусмотренные законодательством о перевозке грузов автомобильным транспортом.</w:t>
      </w:r>
    </w:p>
    <w:p>
      <w:pPr>
        <w:pStyle w:val="Heading1"/>
      </w:pPr>
      <w:r>
        <w:t>9. СТРАХОВАНИЕ И ДОКУМЕНТЫ</w:t>
      </w:r>
    </w:p>
    <w:p>
      <w:r>
        <w:t>9.1. По запросу Заказчика Перевозчик предоставляет сведения о действующем страховании ответственности/рисков, если такое страхование имеется или обязательно.</w:t>
      </w:r>
    </w:p>
    <w:p>
      <w:r>
        <w:t>9.2. Наличие страхования не освобождает Перевозчика от ответственности перед управомоченным лицом.</w:t>
      </w:r>
    </w:p>
    <w:p>
      <w:r>
        <w:t>9.3. Перевозчик обеспечивает наличие у водителя и на ТС документов, обязательных для конкретной перевозки.</w:t>
      </w:r>
    </w:p>
    <w:p>
      <w:pPr>
        <w:pStyle w:val="Heading1"/>
      </w:pPr>
      <w:r>
        <w:t>10. СПОРЫ И СРОК ДОГОВОРА</w:t>
      </w:r>
    </w:p>
    <w:p>
      <w:r>
        <w:t>10.1. Споры разрешаются после соблюдения обязательного претензионного порядка; при недостижении соглашения — в арбитражном суде по месту нахождения Заказчика, если это допускается законом.</w:t>
      </w:r>
    </w:p>
    <w:p>
      <w:r>
        <w:t>10.2. Договор действует до __________ и продлевается на год при отсутствии уведомления за 30 дней.</w:t>
      </w:r>
    </w:p>
    <w:p>
      <w:r>
        <w:t>10.3. Во всем, что не урегулировано, применяется законодательство Российской Федерации.</w:t>
      </w:r>
    </w:p>
    <w:p>
      <w:pPr>
        <w:pStyle w:val="Heading1"/>
      </w:pPr>
      <w:r>
        <w:t>11. РЕКВИЗИТЫ И ПОДПИСИ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</w:tcPr>
          <w:p>
            <w:r>
              <w:t>ЗАКАЗЧИК</w:t>
              <w:br/>
              <w:t>ООО «НОВЫЙ ПРОЕКТ»</w:t>
              <w:br/>
              <w:t>ИНН/КПП: __________</w:t>
              <w:br/>
              <w:t>Адрес: __________</w:t>
              <w:br/>
              <w:t>р/с: __________</w:t>
              <w:br/>
              <w:br/>
              <w:t>__________/__________/</w:t>
            </w:r>
          </w:p>
        </w:tc>
        <w:tc>
          <w:tcPr>
            <w:tcW w:type="dxa" w:w="5071"/>
          </w:tcPr>
          <w:p>
            <w:r>
              <w:t>ПЕРЕВОЗЧИК</w:t>
              <w:br/>
              <w:t>____________________</w:t>
              <w:br/>
              <w:t>ИНН/КПП: __________</w:t>
              <w:br/>
              <w:t>Адрес: __________</w:t>
              <w:br/>
              <w:t>р/с: __________</w:t>
              <w:br/>
              <w:br/>
              <w:t>__________/__________/</w:t>
            </w:r>
          </w:p>
        </w:tc>
      </w:tr>
    </w:tbl>
    <w:p>
      <w:r>
        <w:br w:type="page"/>
      </w:r>
    </w:p>
    <w:p>
      <w:pPr>
        <w:pStyle w:val="Heading1"/>
      </w:pPr>
      <w:r>
        <w:t>ПРИЛОЖЕНИЕ № 1. КАРТОЧКА ЗАЯВКИ НА ПЕРЕВОЗКУ</w:t>
      </w:r>
    </w:p>
    <w:p>
      <w:r>
        <w:t>Карточка предназначена для внутреннего согласования и формирования обязательного электронного заказа/заявки с 01.09.2026; сама по себе не заменяет установленный электронный формат.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71"/>
        <w:gridCol w:w="5071"/>
      </w:tblGrid>
      <w:tr>
        <w:tc>
          <w:tcPr>
            <w:tcW w:type="dxa" w:w="5071"/>
          </w:tcPr>
          <w:p>
            <w:r>
              <w:t>Параметр</w:t>
            </w:r>
          </w:p>
        </w:tc>
        <w:tc>
          <w:tcPr>
            <w:tcW w:type="dxa" w:w="5071"/>
          </w:tcPr>
          <w:p>
            <w:r>
              <w:t>Значение</w:t>
            </w:r>
          </w:p>
        </w:tc>
      </w:tr>
      <w:tr>
        <w:tc>
          <w:tcPr>
            <w:tcW w:type="dxa" w:w="5071"/>
          </w:tcPr>
          <w:p>
            <w:r>
              <w:t>№ рейса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Маршрут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Дата/время погрузки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Дата/время выгрузки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Груз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Места/масса/объем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Температура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Тип ТС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Перевозчик / ИНН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Водитель / телефон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Тягач / госномер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Прицеп / госномер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Ставка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Срок оплаты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Бесплатное время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Простой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Особые условия</w:t>
            </w:r>
          </w:p>
        </w:tc>
        <w:tc>
          <w:tcPr>
            <w:tcW w:type="dxa" w:w="5071"/>
          </w:tcPr>
          <w:p/>
        </w:tc>
      </w:tr>
      <w:tr>
        <w:tc>
          <w:tcPr>
            <w:tcW w:type="dxa" w:w="5071"/>
          </w:tcPr>
          <w:p>
            <w:r>
              <w:t>№/статус ЭТрН</w:t>
            </w:r>
          </w:p>
        </w:tc>
        <w:tc>
          <w:tcPr>
            <w:tcW w:type="dxa" w:w="5071"/>
          </w:tcPr>
          <w:p/>
        </w:tc>
      </w:tr>
    </w:tbl>
    <w:sectPr w:rsidR="00FC693F" w:rsidRPr="0006063C" w:rsidSect="00034616">
      <w:pgSz w:w="12240" w:h="15840"/>
      <w:pgMar w:top="907" w:right="96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