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BOS</w:t>
      </w:r>
      <w:r>
        <w:t xml:space="preserve"> </w:t>
      </w:r>
      <w:r>
        <w:t xml:space="preserve">AIDE</w:t>
      </w:r>
      <w:r>
        <w:t xml:space="preserve"> </w:t>
      </w:r>
      <w:r>
        <w:t xml:space="preserve">Knowledge-Centric</w:t>
      </w:r>
      <w:r>
        <w:t xml:space="preserve"> </w:t>
      </w:r>
      <w:r>
        <w:t xml:space="preserve">Loop</w:t>
      </w:r>
      <w:r>
        <w:t xml:space="preserve"> </w:t>
      </w:r>
      <w:r>
        <w:t xml:space="preserve">Engineering</w:t>
      </w:r>
    </w:p>
    <w:p>
      <w:pPr>
        <w:pStyle w:val="Subtitle"/>
      </w:pPr>
      <w:r>
        <w:t xml:space="preserve">Architecture</w:t>
      </w:r>
      <w:r>
        <w:t xml:space="preserve"> </w:t>
      </w:r>
      <w:r>
        <w:t xml:space="preserve">and</w:t>
      </w:r>
      <w:r>
        <w:t xml:space="preserve"> </w:t>
      </w:r>
      <w:r>
        <w:t xml:space="preserve">Detailed</w:t>
      </w:r>
      <w:r>
        <w:t xml:space="preserve"> </w:t>
      </w:r>
      <w:r>
        <w:t xml:space="preserve">Design</w:t>
      </w:r>
    </w:p>
    <w:p>
      <w:pPr>
        <w:pStyle w:val="Author"/>
      </w:pPr>
      <w:r>
        <w:t xml:space="preserve">BOS</w:t>
      </w:r>
      <w:r>
        <w:t xml:space="preserve"> </w:t>
      </w:r>
      <w:r>
        <w:t xml:space="preserve">AIDE</w:t>
      </w:r>
      <w:r>
        <w:t xml:space="preserve"> </w:t>
      </w:r>
      <w:r>
        <w:t xml:space="preserve">Engineering</w:t>
      </w:r>
    </w:p>
    <w:p>
      <w:pPr>
        <w:pStyle w:val="Date"/>
      </w:pPr>
      <w:r>
        <w:t>20</w:t>
      </w:r>
      <w:r>
        <w:t xml:space="preserve"> </w:t>
      </w:r>
      <w:r>
        <w:t>August</w:t>
      </w:r>
      <w:r>
        <w:t xml:space="preserve"> </w:t>
      </w:r>
      <w:r>
        <w:t>2026</w:t>
      </w:r>
    </w:p>
    <w:p>
      <w:pPr>
        <w:pStyle w:val="FirstParagraph"/>
      </w:pPr>
      <w:r>
        <w:rPr>
          <w:b/>
          <w:bCs/>
        </w:rPr>
        <w:t xml:space="preserve">Subtitle:</w:t>
      </w:r>
      <w:r>
        <w:t xml:space="preserve"> </w:t>
      </w:r>
      <w:r>
        <w:t xml:space="preserve">Graph-Governed Spec-Driven Development for Single- and Multi-Microservice Delivery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>1.0.1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>20 August 2026</w:t>
      </w:r>
      <w:r>
        <w:br/>
      </w:r>
      <w:r>
        <w:rPr>
          <w:b/>
          <w:bCs/>
        </w:rPr>
        <w:t xml:space="preserve">Deployment baseline:</w:t>
      </w:r>
      <w:r>
        <w:t xml:space="preserve"> </w:t>
      </w:r>
      <w:r>
        <w:t xml:space="preserve">Native Windows 11 x64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r>
        <w:br w:type="page"/>
      </w:r>
    </w:p>
    <w:p>
      <w:pPr>
        <w:pStyle w:val="Heading2"/>
        <w:keepNext/>
      </w:pPr>
      <w:r>
        <w:t xml:space="preserve">1. Executive summary</w:t>
      </w:r>
    </w:p>
    <w:p>
      <w:pPr>
        <w:pStyle w:val="FirstParagraph"/>
      </w:pPr>
      <w:r>
        <w:t xml:space="preserve">BOS AIDE Knowledge-Centric Loop Engineering combines three disciplines: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Spec-Driven Development</w:t>
      </w:r>
      <w:r>
        <w:t xml:space="preserve"> </w:t>
      </w:r>
      <w:r>
        <w:t xml:space="preserve">defines the destination: requirements, design, tasks, acceptance criteria, and traceability.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Loop Engineering</w:t>
      </w:r>
      <w:r>
        <w:t xml:space="preserve"> </w:t>
      </w:r>
      <w:r>
        <w:t xml:space="preserve">executes bounded Goal -&gt; Action -&gt; Observation -&gt; Adjustment cycles until deterministic evidence produces PASS, a decision requires ESCALATE, or limits produce FAIL.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Graph Engineering</w:t>
      </w:r>
      <w:r>
        <w:t xml:space="preserve"> </w:t>
      </w:r>
      <w:r>
        <w:t xml:space="preserve">provides connected enterprise context: services, repositories, APIs, events, schemas, data, user flows, tests, ADRs, owners, deployments, incidents, and provenance.</w:t>
      </w:r>
    </w:p>
    <w:p>
      <w:pPr>
        <w:pStyle w:val="FirstParagraph"/>
      </w:pPr>
      <w:r>
        <w:t xml:space="preserve">A multi-service change does not use one unrestricted global coding loop. It starts with one enterprise specification and graph-derived impact context, derives one local specification per affected service, and executes separate service, contract, integration, and E2E loops.</w:t>
      </w:r>
    </w:p>
    <w:p>
      <w:pPr>
        <w:pStyle w:val="BodyText"/>
      </w:pPr>
      <w:r>
        <w:t xml:space="preserve">The Knowledge Plane is Markdown-first:</w:t>
      </w:r>
    </w:p>
    <w:p>
      <w:pPr>
        <w:pStyle w:val="Compact"/>
        <w:numPr>
          <w:ilvl w:val="0"/>
          <w:numId w:val="1002"/>
        </w:numPr>
      </w:pPr>
      <w:r>
        <w:t xml:space="preserve">Git-backed</w:t>
      </w:r>
      <w:r>
        <w:t xml:space="preserve"> </w:t>
      </w:r>
      <w:r>
        <w:rPr>
          <w:rStyle w:val="VerbatimChar"/>
        </w:rPr>
        <w:t xml:space="preserve">wiki/</w:t>
      </w:r>
      <w:r>
        <w:t xml:space="preserve"> </w:t>
      </w:r>
      <w:r>
        <w:t xml:space="preserve">pages are governed artifacts.</w:t>
      </w:r>
    </w:p>
    <w:p>
      <w:pPr>
        <w:pStyle w:val="Compact"/>
        <w:numPr>
          <w:ilvl w:val="0"/>
          <w:numId w:val="1002"/>
        </w:numPr>
      </w:pPr>
      <w:r>
        <w:t xml:space="preserve">Neo4j is the exact typed relationship index.</w:t>
      </w:r>
    </w:p>
    <w:p>
      <w:pPr>
        <w:pStyle w:val="Compact"/>
        <w:numPr>
          <w:ilvl w:val="0"/>
          <w:numId w:val="1002"/>
        </w:numPr>
      </w:pPr>
      <w:r>
        <w:t xml:space="preserve">Graphiti adds temporal and semantic context.</w:t>
      </w:r>
    </w:p>
    <w:p>
      <w:pPr>
        <w:pStyle w:val="Compact"/>
        <w:numPr>
          <w:ilvl w:val="0"/>
          <w:numId w:val="1002"/>
        </w:numPr>
      </w:pPr>
      <w:r>
        <w:t xml:space="preserve">OpenWiki compiles user-readable documentation.</w:t>
      </w:r>
    </w:p>
    <w:p>
      <w:pPr>
        <w:pStyle w:val="Compact"/>
        <w:numPr>
          <w:ilvl w:val="0"/>
          <w:numId w:val="1002"/>
        </w:numPr>
      </w:pPr>
      <w:r>
        <w:t xml:space="preserve">Kiro retrieves bounded context through indexed resources and a custom MCP server.</w:t>
      </w:r>
    </w:p>
    <w:p>
      <w:pPr>
        <w:pStyle w:val="Compact"/>
        <w:numPr>
          <w:ilvl w:val="0"/>
          <w:numId w:val="1002"/>
        </w:numPr>
      </w:pPr>
      <w:r>
        <w:t xml:space="preserve">Only reviewed and merged outcomes become canonical learning.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-principles"/>
    <w:p>
      <w:pPr>
        <w:pStyle w:val="Heading2"/>
        <w:keepNext/>
      </w:pPr>
      <w:r>
        <w:t xml:space="preserve">2. Architecture principles</w:t>
      </w:r>
    </w:p>
    <w:p>
      <w:pPr>
        <w:pStyle w:val="Compact"/>
        <w:numPr>
          <w:ilvl w:val="0"/>
          <w:numId w:val="1003"/>
        </w:numPr>
      </w:pPr>
      <w:r>
        <w:t xml:space="preserve">Kiro proposes; deterministic gates and human-governed delivery systems decide.</w:t>
      </w:r>
    </w:p>
    <w:p>
      <w:pPr>
        <w:pStyle w:val="Compact"/>
        <w:numPr>
          <w:ilvl w:val="0"/>
          <w:numId w:val="1003"/>
        </w:numPr>
      </w:pPr>
      <w:r>
        <w:t xml:space="preserve">Markdown is durable; the graph is rebuildable.</w:t>
      </w:r>
    </w:p>
    <w:p>
      <w:pPr>
        <w:pStyle w:val="Compact"/>
        <w:numPr>
          <w:ilvl w:val="0"/>
          <w:numId w:val="1003"/>
        </w:numPr>
      </w:pPr>
      <w:r>
        <w:t xml:space="preserve">Deterministic extraction precedes LLM synthesis.</w:t>
      </w:r>
    </w:p>
    <w:p>
      <w:pPr>
        <w:pStyle w:val="Compact"/>
        <w:numPr>
          <w:ilvl w:val="0"/>
          <w:numId w:val="1003"/>
        </w:numPr>
      </w:pPr>
      <w:r>
        <w:t xml:space="preserve">Declared, contracted, implemented, and observed evidence remain distinct.</w:t>
      </w:r>
    </w:p>
    <w:p>
      <w:pPr>
        <w:pStyle w:val="Compact"/>
        <w:numPr>
          <w:ilvl w:val="0"/>
          <w:numId w:val="1003"/>
        </w:numPr>
      </w:pPr>
      <w:r>
        <w:t xml:space="preserve">Context is assembled for the task, not dumped wholesale.</w:t>
      </w:r>
    </w:p>
    <w:p>
      <w:pPr>
        <w:pStyle w:val="Compact"/>
        <w:numPr>
          <w:ilvl w:val="0"/>
          <w:numId w:val="1003"/>
        </w:numPr>
      </w:pPr>
      <w:r>
        <w:t xml:space="preserve">Loops have explicit scope, gates, budgets, escalation, and terminal states.</w:t>
      </w:r>
    </w:p>
    <w:p>
      <w:pPr>
        <w:pStyle w:val="Compact"/>
        <w:numPr>
          <w:ilvl w:val="0"/>
          <w:numId w:val="1003"/>
        </w:numPr>
      </w:pPr>
      <w:r>
        <w:t xml:space="preserve">The enterprise orchestrator coordinates and routes; it does not edit all repositories freely.</w:t>
      </w:r>
    </w:p>
    <w:p>
      <w:pPr>
        <w:pStyle w:val="Compact"/>
        <w:numPr>
          <w:ilvl w:val="0"/>
          <w:numId w:val="1003"/>
        </w:numPr>
      </w:pPr>
      <w:r>
        <w:t xml:space="preserve">OpenWiki and temporal memory are derived and lower trust.</w:t>
      </w:r>
    </w:p>
    <w:p>
      <w:pPr>
        <w:pStyle w:val="Compact"/>
        <w:numPr>
          <w:ilvl w:val="0"/>
          <w:numId w:val="1003"/>
        </w:numPr>
      </w:pPr>
      <w:r>
        <w:t xml:space="preserve">Learning is merge-gated.</w:t>
      </w:r>
    </w:p>
    <w:p>
      <w:pPr>
        <w:pStyle w:val="Compact"/>
        <w:numPr>
          <w:ilvl w:val="0"/>
          <w:numId w:val="1003"/>
        </w:numPr>
      </w:pPr>
      <w:r>
        <w:t xml:space="preserve">The exact graph remains usable when Graphiti or an LLM provider is unavailable.</w:t>
      </w:r>
    </w:p>
    <w:p>
      <w:r>
        <w:pict>
          <v:rect style="width:0;height:1.5pt" o:hralign="center" o:hrstd="t" o:hr="t"/>
        </w:pict>
      </w:r>
    </w:p>
    <w:bookmarkEnd w:id="21"/>
    <w:bookmarkStart w:id="24" w:name="goals-and-non-goals"/>
    <w:p>
      <w:pPr>
        <w:pStyle w:val="Heading2"/>
        <w:keepNext/>
      </w:pPr>
      <w:r>
        <w:t xml:space="preserve">3. Goals and non-goals</w:t>
      </w:r>
    </w:p>
    <w:bookmarkStart w:id="22" w:name="goals"/>
    <w:p>
      <w:pPr>
        <w:pStyle w:val="Heading3"/>
        <w:keepNext/>
      </w:pPr>
      <w:r>
        <w:t xml:space="preserve">Goals</w:t>
      </w:r>
    </w:p>
    <w:p>
      <w:pPr>
        <w:pStyle w:val="Compact"/>
        <w:numPr>
          <w:ilvl w:val="0"/>
          <w:numId w:val="1004"/>
        </w:numPr>
      </w:pPr>
      <w:r>
        <w:t xml:space="preserve">Support new and legacy systems from one repository to enterprise service graphs.</w:t>
      </w:r>
    </w:p>
    <w:p>
      <w:pPr>
        <w:pStyle w:val="Compact"/>
        <w:numPr>
          <w:ilvl w:val="0"/>
          <w:numId w:val="1004"/>
        </w:numPr>
      </w:pPr>
      <w:r>
        <w:t xml:space="preserve">Keep knowledge predominantly in Markdown.</w:t>
      </w:r>
    </w:p>
    <w:p>
      <w:pPr>
        <w:pStyle w:val="Compact"/>
        <w:numPr>
          <w:ilvl w:val="0"/>
          <w:numId w:val="1004"/>
        </w:numPr>
      </w:pPr>
      <w:r>
        <w:t xml:space="preserve">Give Kiro exact contract and schema evidence.</w:t>
      </w:r>
    </w:p>
    <w:p>
      <w:pPr>
        <w:pStyle w:val="Compact"/>
        <w:numPr>
          <w:ilvl w:val="0"/>
          <w:numId w:val="1004"/>
        </w:numPr>
      </w:pPr>
      <w:r>
        <w:t xml:space="preserve">Provide graph-based impact analysis and failure routing.</w:t>
      </w:r>
    </w:p>
    <w:p>
      <w:pPr>
        <w:pStyle w:val="Compact"/>
        <w:numPr>
          <w:ilvl w:val="0"/>
          <w:numId w:val="1004"/>
        </w:numPr>
      </w:pPr>
      <w:r>
        <w:t xml:space="preserve">Bound agent execution and cost.</w:t>
      </w:r>
    </w:p>
    <w:p>
      <w:pPr>
        <w:pStyle w:val="Compact"/>
        <w:numPr>
          <w:ilvl w:val="0"/>
          <w:numId w:val="1004"/>
        </w:numPr>
      </w:pPr>
      <w:r>
        <w:t xml:space="preserve">Preserve provenance and history.</w:t>
      </w:r>
    </w:p>
    <w:p>
      <w:pPr>
        <w:pStyle w:val="Compact"/>
        <w:numPr>
          <w:ilvl w:val="0"/>
          <w:numId w:val="1004"/>
        </w:numPr>
      </w:pPr>
      <w:r>
        <w:t xml:space="preserve">Generate readable documentation without weakening authority.</w:t>
      </w:r>
    </w:p>
    <w:p>
      <w:pPr>
        <w:pStyle w:val="Compact"/>
        <w:numPr>
          <w:ilvl w:val="0"/>
          <w:numId w:val="1004"/>
        </w:numPr>
      </w:pPr>
      <w:r>
        <w:t xml:space="preserve">Run natively on Windows without containers.</w:t>
      </w:r>
    </w:p>
    <w:bookmarkEnd w:id="22"/>
    <w:bookmarkStart w:id="23" w:name="non-goals"/>
    <w:p>
      <w:pPr>
        <w:pStyle w:val="Heading3"/>
        <w:keepNext/>
      </w:pPr>
      <w:r>
        <w:t xml:space="preserve">Non-goals</w:t>
      </w:r>
    </w:p>
    <w:p>
      <w:pPr>
        <w:pStyle w:val="Compact"/>
        <w:numPr>
          <w:ilvl w:val="0"/>
          <w:numId w:val="1005"/>
        </w:numPr>
      </w:pPr>
      <w:r>
        <w:t xml:space="preserve">Fine-tune a model on every source change.</w:t>
      </w:r>
    </w:p>
    <w:p>
      <w:pPr>
        <w:pStyle w:val="Compact"/>
        <w:numPr>
          <w:ilvl w:val="0"/>
          <w:numId w:val="1005"/>
        </w:numPr>
      </w:pPr>
      <w:r>
        <w:t xml:space="preserve">Replace Git, CI, Jira, architecture review, or CODEOWNERS.</w:t>
      </w:r>
    </w:p>
    <w:p>
      <w:pPr>
        <w:pStyle w:val="Compact"/>
        <w:numPr>
          <w:ilvl w:val="0"/>
          <w:numId w:val="1005"/>
        </w:numPr>
      </w:pPr>
      <w:r>
        <w:t xml:space="preserve">Allow Kiro to deploy directly to production.</w:t>
      </w:r>
    </w:p>
    <w:p>
      <w:pPr>
        <w:pStyle w:val="Compact"/>
        <w:numPr>
          <w:ilvl w:val="0"/>
          <w:numId w:val="1005"/>
        </w:numPr>
      </w:pPr>
      <w:r>
        <w:t xml:space="preserve">Treat OpenWiki, Graphiti, or Mem0 as canonical truth.</w:t>
      </w:r>
    </w:p>
    <w:p>
      <w:pPr>
        <w:pStyle w:val="Compact"/>
        <w:numPr>
          <w:ilvl w:val="0"/>
          <w:numId w:val="1005"/>
        </w:numPr>
      </w:pPr>
      <w:r>
        <w:t xml:space="preserve">Add a separate vector platform before scale measurements justify it.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operating-model"/>
    <w:p>
      <w:pPr>
        <w:pStyle w:val="Heading2"/>
        <w:keepNext/>
      </w:pPr>
      <w:r>
        <w:t xml:space="preserve">4. Operating model</w:t>
      </w:r>
    </w:p>
    <w:bookmarkStart w:id="25" w:name="single-microservice"/>
    <w:p>
      <w:pPr>
        <w:pStyle w:val="Heading3"/>
        <w:keepNext/>
      </w:pPr>
      <w:r>
        <w:t xml:space="preserve">Single microservice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Feature Spec -&gt; task loop -&gt; service loop -&gt; deterministic gates -&gt; PR -&gt; approved learning</w:t>
      </w:r>
    </w:p>
    <w:bookmarkEnd w:id="25"/>
    <w:bookmarkStart w:id="26" w:name="multiple-microservices"/>
    <w:p>
      <w:pPr>
        <w:pStyle w:val="Heading3"/>
        <w:keepNext/>
      </w:pPr>
      <w:r>
        <w:t xml:space="preserve">Multiple microservices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Enterprise Spec -&gt; graph impact/context -&gt; bounded service-local specs</w:t>
      </w:r>
      <w:r>
        <w:br/>
      </w:r>
      <w:r>
        <w:rPr>
          <w:rStyle w:val="VerbatimChar"/>
        </w:rPr>
        <w:t xml:space="preserve">-&gt; service loops -&gt; contract loop -&gt; integration loop -&gt; E2E loop</w:t>
      </w:r>
      <w:r>
        <w:br/>
      </w:r>
      <w:r>
        <w:rPr>
          <w:rStyle w:val="VerbatimChar"/>
        </w:rPr>
        <w:t xml:space="preserve">-&gt; coordinated PRs -&gt; approved learning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ystem-context"/>
    <w:p>
      <w:pPr>
        <w:pStyle w:val="Heading2"/>
        <w:keepNext/>
      </w:pPr>
      <w:r>
        <w:t xml:space="preserve">5. System context</w:t>
      </w:r>
    </w:p>
    <w:p>
      <w:pPr>
        <w:pStyle w:val="CaptionedFigure"/>
        <w:keepNext/>
        <w:spacing w:before="80" w:after="40"/>
        <w:jc w:val="center"/>
      </w:pPr>
      <w:r>
        <w:drawing>
          <wp:inline>
            <wp:extent cx="3429000" cy="5621110"/>
            <wp:effectExtent b="0" l="0" r="0" t="0"/>
            <wp:docPr descr="5. System context" title="" id="29" name="Picture"/>
            <a:graphic>
              <a:graphicData uri="http://schemas.openxmlformats.org/drawingml/2006/picture">
                <pic:pic>
                  <pic:nvPicPr>
                    <pic:cNvPr descr="docs/assets/diagrams/BOS_AIDE_Loop_Graph_Architecture-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621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5. System context</w:t>
      </w:r>
    </w:p>
    <w:p>
      <w:pPr>
        <w:pStyle w:val="BodyText"/>
      </w:pPr>
      <w:r>
        <w:rPr>
          <w:i/>
          <w:iCs/>
        </w:rPr>
        <w:t xml:space="preserve">Mermaid source is preserved in the Markdown edition.</w:t>
      </w:r>
    </w:p>
    <w:p>
      <w:r>
        <w:pict>
          <v:rect style="width:0;height:1.5pt" o:hralign="center" o:hrstd="t" o:hr="t"/>
        </w:pict>
      </w:r>
    </w:p>
    <w:bookmarkEnd w:id="31"/>
    <w:bookmarkStart w:id="35" w:name="layered-reference-architecture"/>
    <w:p>
      <w:pPr>
        <w:pStyle w:val="Heading2"/>
        <w:keepNext/>
      </w:pPr>
      <w:r>
        <w:t xml:space="preserve">6. Layered reference architecture</w:t>
      </w:r>
    </w:p>
    <w:p>
      <w:pPr>
        <w:pStyle w:val="CaptionedFigure"/>
        <w:keepNext/>
        <w:spacing w:before="80" w:after="40"/>
        <w:jc w:val="center"/>
      </w:pPr>
      <w:r>
        <w:drawing>
          <wp:inline>
            <wp:extent cx="5431536" cy="5621240"/>
            <wp:effectExtent b="0" l="0" r="0" t="0"/>
            <wp:docPr descr="6. Layered reference architecture" title="" id="33" name="Picture"/>
            <a:graphic>
              <a:graphicData uri="http://schemas.openxmlformats.org/drawingml/2006/picture">
                <pic:pic>
                  <pic:nvPicPr>
                    <pic:cNvPr descr="docs/assets/diagrams/BOS_AIDE_Loop_Graph_Architecture-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536" cy="5621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 Layered reference architecture</w:t>
      </w:r>
    </w:p>
    <w:p>
      <w:pPr>
        <w:pStyle w:val="BodyText"/>
      </w:pPr>
      <w:r>
        <w:rPr>
          <w:i/>
          <w:iCs/>
        </w:rPr>
        <w:t xml:space="preserve">Mermaid source is preserved in the Markdown edition.</w:t>
      </w:r>
    </w:p>
    <w:p>
      <w:r>
        <w:pict>
          <v:rect style="width:0;height:1.5pt" o:hralign="center" o:hrstd="t" o:hr="t"/>
        </w:pict>
      </w:r>
    </w:p>
    <w:bookmarkEnd w:id="35"/>
    <w:bookmarkStart w:id="36" w:name="final-component-stack"/>
    <w:p>
      <w:pPr>
        <w:pStyle w:val="Heading2"/>
        <w:keepNext/>
      </w:pPr>
      <w:r>
        <w:t xml:space="preserve">7. Final component stack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fill="183153"/>
            <w:vAlign w:val="center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b/>
                <w:color w:val="FFFFFF"/>
                <w:sz w:val="16"/>
              </w:rPr>
              <w:t xml:space="preserve">Capability</w:t>
            </w:r>
          </w:p>
        </w:tc>
        <w:tc>
          <w:tcPr>
            <w:shd w:fill="183153"/>
            <w:vAlign w:val="center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b/>
                <w:color w:val="FFFFFF"/>
                <w:sz w:val="16"/>
              </w:rPr>
              <w:t xml:space="preserve">Choice</w:t>
            </w:r>
          </w:p>
        </w:tc>
        <w:tc>
          <w:tcPr>
            <w:shd w:fill="183153"/>
            <w:vAlign w:val="center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b/>
                <w:color w:val="FFFFFF"/>
                <w:sz w:val="16"/>
              </w:rPr>
              <w:t xml:space="preserve">Architectural role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Specification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Kiro Feature Specs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Requirements, design, tasks and acceptance traceability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Loop orchestration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Kiro agents + YAML contracts + CI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Bounded execution and deterministic termination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Canonical knowledge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Git Markdown + YAML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Governed, human-readable knowledge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Exact graph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Neo4j 5.26 LTS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Typed traversal and deterministic provenance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Temporal graph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Graphiti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Changing facts, episodes and hybrid retrieval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Context interface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Custom MCP server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Policy boundary between Kiro and knowledge systems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Documentation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OpenWiki + Zensical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Derived explanations and Mermaid portal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Authoring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Obsidian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Human navigation and editing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Authority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Git/Jira/CI/CODEOWNERS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Acceptance and publication control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loop-state-model"/>
    <w:p>
      <w:pPr>
        <w:pStyle w:val="Heading2"/>
        <w:keepNext/>
      </w:pPr>
      <w:r>
        <w:t xml:space="preserve">8. Loop state model</w:t>
      </w:r>
    </w:p>
    <w:p>
      <w:pPr>
        <w:pStyle w:val="CaptionedFigure"/>
        <w:keepNext/>
        <w:spacing w:before="80" w:after="40"/>
        <w:jc w:val="center"/>
      </w:pPr>
      <w:r>
        <w:drawing>
          <wp:inline>
            <wp:extent cx="8595360" cy="2112035"/>
            <wp:effectExtent b="0" l="0" r="0" t="0"/>
            <wp:docPr descr="8. Loop state model" title="" id="38" name="Picture"/>
            <a:graphic>
              <a:graphicData uri="http://schemas.openxmlformats.org/drawingml/2006/picture">
                <pic:pic>
                  <pic:nvPicPr>
                    <pic:cNvPr descr="docs/assets/diagrams/BOS_AIDE_Loop_Graph_Architecture-0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5360" cy="2112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8. Loop state model</w:t>
      </w:r>
    </w:p>
    <w:p>
      <w:pPr>
        <w:pStyle w:val="BodyText"/>
      </w:pPr>
      <w:r>
        <w:rPr>
          <w:i/>
          <w:iCs/>
        </w:rPr>
        <w:t xml:space="preserve">Mermaid source is preserved in the Markdown edition.</w:t>
      </w:r>
    </w:p>
    <w:p>
      <w:pPr>
        <w:pStyle w:val="BodyText"/>
      </w:pPr>
      <w:r>
        <w:t xml:space="preserve">Every loop contract defines goal, allowed repositories and paths, forbidden actions, escalation conditions, verification gates, budgets, and exactly three terminal states.</w:t>
      </w:r>
    </w:p>
    <w:p>
      <w:r>
        <w:pict>
          <v:rect style="width:0;height:1.5pt" o:hralign="center" o:hrstd="t" o:hr="t"/>
        </w:pict>
      </w:r>
    </w:p>
    <w:bookmarkEnd w:id="40"/>
    <w:bookmarkStart w:id="44" w:name="single-service-sequence"/>
    <w:p>
      <w:pPr>
        <w:pStyle w:val="Heading2"/>
        <w:keepNext/>
      </w:pPr>
      <w:r>
        <w:t xml:space="preserve">9. Single-service sequence</w:t>
      </w:r>
    </w:p>
    <w:p>
      <w:pPr>
        <w:pStyle w:val="CaptionedFigure"/>
        <w:keepNext/>
        <w:spacing w:before="80" w:after="40"/>
        <w:jc w:val="center"/>
      </w:pPr>
      <w:r>
        <w:drawing>
          <wp:inline>
            <wp:extent cx="6199632" cy="5626658"/>
            <wp:effectExtent b="0" l="0" r="0" t="0"/>
            <wp:docPr descr="9. Single-service sequence" title="" id="42" name="Picture"/>
            <a:graphic>
              <a:graphicData uri="http://schemas.openxmlformats.org/drawingml/2006/picture">
                <pic:pic>
                  <pic:nvPicPr>
                    <pic:cNvPr descr="docs/assets/diagrams/BOS_AIDE_Loop_Graph_Architecture-0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32" cy="5626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9. Single-service sequence</w:t>
      </w:r>
    </w:p>
    <w:p>
      <w:pPr>
        <w:pStyle w:val="BodyText"/>
      </w:pPr>
      <w:r>
        <w:rPr>
          <w:i/>
          <w:iCs/>
        </w:rPr>
        <w:t xml:space="preserve">Mermaid source is preserved in the Markdown edition.</w:t>
      </w:r>
    </w:p>
    <w:p>
      <w:r>
        <w:pict>
          <v:rect style="width:0;height:1.5pt" o:hralign="center" o:hrstd="t" o:hr="t"/>
        </w:pict>
      </w:r>
    </w:p>
    <w:bookmarkEnd w:id="44"/>
    <w:bookmarkStart w:id="48" w:name="multi-service-nested-loops"/>
    <w:p>
      <w:pPr>
        <w:pStyle w:val="Heading2"/>
        <w:keepNext/>
      </w:pPr>
      <w:r>
        <w:t xml:space="preserve">10. Multi-service nested loops</w:t>
      </w:r>
    </w:p>
    <w:p>
      <w:pPr>
        <w:pStyle w:val="CaptionedFigure"/>
        <w:keepNext/>
        <w:spacing w:before="80" w:after="40"/>
        <w:jc w:val="center"/>
      </w:pPr>
      <w:r>
        <w:drawing>
          <wp:inline>
            <wp:extent cx="2926080" cy="5620169"/>
            <wp:effectExtent b="0" l="0" r="0" t="0"/>
            <wp:docPr descr="10. Multi-service nested loops" title="" id="46" name="Picture"/>
            <a:graphic>
              <a:graphicData uri="http://schemas.openxmlformats.org/drawingml/2006/picture">
                <pic:pic>
                  <pic:nvPicPr>
                    <pic:cNvPr descr="docs/assets/diagrams/BOS_AIDE_Loop_Graph_Architecture-0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5620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10. Multi-service nested loops</w:t>
      </w:r>
    </w:p>
    <w:p>
      <w:pPr>
        <w:pStyle w:val="BodyText"/>
      </w:pPr>
      <w:r>
        <w:rPr>
          <w:i/>
          <w:iCs/>
        </w:rPr>
        <w:t xml:space="preserve">Mermaid source is preserved in the Markdown edition.</w:t>
      </w:r>
    </w:p>
    <w:p>
      <w:r>
        <w:pict>
          <v:rect style="width:0;height:1.5pt" o:hralign="center" o:hrstd="t" o:hr="t"/>
        </w:pict>
      </w:r>
    </w:p>
    <w:bookmarkEnd w:id="48"/>
    <w:bookmarkStart w:id="52" w:name="enterprise-orchestration-sequence"/>
    <w:p>
      <w:pPr>
        <w:pStyle w:val="Heading2"/>
        <w:keepNext/>
      </w:pPr>
      <w:r>
        <w:t xml:space="preserve">11. Enterprise orchestration sequence</w:t>
      </w:r>
    </w:p>
    <w:p>
      <w:pPr>
        <w:pStyle w:val="CaptionedFigure"/>
        <w:keepNext/>
        <w:spacing w:before="80" w:after="40"/>
        <w:jc w:val="center"/>
      </w:pPr>
      <w:r>
        <w:drawing>
          <wp:inline>
            <wp:extent cx="7205472" cy="5624497"/>
            <wp:effectExtent b="0" l="0" r="0" t="0"/>
            <wp:docPr descr="11. Enterprise orchestration sequence" title="" id="50" name="Picture"/>
            <a:graphic>
              <a:graphicData uri="http://schemas.openxmlformats.org/drawingml/2006/picture">
                <pic:pic>
                  <pic:nvPicPr>
                    <pic:cNvPr descr="docs/assets/diagrams/BOS_AIDE_Loop_Graph_Architecture-0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5472" cy="5624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11. Enterprise orchestration sequence</w:t>
      </w:r>
    </w:p>
    <w:p>
      <w:pPr>
        <w:pStyle w:val="BodyText"/>
      </w:pPr>
      <w:r>
        <w:rPr>
          <w:i/>
          <w:iCs/>
        </w:rPr>
        <w:t xml:space="preserve">Mermaid source is preserved in the Markdown edition.</w:t>
      </w:r>
    </w:p>
    <w:p>
      <w:r>
        <w:pict>
          <v:rect style="width:0;height:1.5pt" o:hralign="center" o:hrstd="t" o:hr="t"/>
        </w:pict>
      </w:r>
    </w:p>
    <w:bookmarkEnd w:id="52"/>
    <w:bookmarkStart w:id="56" w:name="graph-engineering-lifecycle"/>
    <w:p>
      <w:pPr>
        <w:pStyle w:val="Heading2"/>
        <w:keepNext/>
      </w:pPr>
      <w:r>
        <w:t xml:space="preserve">12. Graph Engineering lifecycle</w:t>
      </w:r>
    </w:p>
    <w:p>
      <w:pPr>
        <w:pStyle w:val="FirstParagraph"/>
      </w:pPr>
      <w:r>
        <w:t xml:space="preserve">Graph Engineering comprises:</w:t>
      </w:r>
    </w:p>
    <w:p>
      <w:pPr>
        <w:pStyle w:val="Compact"/>
        <w:numPr>
          <w:ilvl w:val="0"/>
          <w:numId w:val="1006"/>
        </w:numPr>
      </w:pPr>
      <w:r>
        <w:t xml:space="preserve">Ontology engineering.</w:t>
      </w:r>
    </w:p>
    <w:p>
      <w:pPr>
        <w:pStyle w:val="Compact"/>
        <w:numPr>
          <w:ilvl w:val="0"/>
          <w:numId w:val="1006"/>
        </w:numPr>
      </w:pPr>
      <w:r>
        <w:t xml:space="preserve">Deterministic extraction.</w:t>
      </w:r>
    </w:p>
    <w:p>
      <w:pPr>
        <w:pStyle w:val="Compact"/>
        <w:numPr>
          <w:ilvl w:val="0"/>
          <w:numId w:val="1006"/>
        </w:numPr>
      </w:pPr>
      <w:r>
        <w:t xml:space="preserve">Entity resolution.</w:t>
      </w:r>
    </w:p>
    <w:p>
      <w:pPr>
        <w:pStyle w:val="Compact"/>
        <w:numPr>
          <w:ilvl w:val="0"/>
          <w:numId w:val="1006"/>
        </w:numPr>
      </w:pPr>
      <w:r>
        <w:t xml:space="preserve">Relationship and provenance validation.</w:t>
      </w:r>
    </w:p>
    <w:p>
      <w:pPr>
        <w:pStyle w:val="Compact"/>
        <w:numPr>
          <w:ilvl w:val="0"/>
          <w:numId w:val="1006"/>
        </w:numPr>
      </w:pPr>
      <w:r>
        <w:t xml:space="preserve">Context retrieval and impact analysis.</w:t>
      </w:r>
    </w:p>
    <w:p>
      <w:pPr>
        <w:pStyle w:val="Compact"/>
        <w:numPr>
          <w:ilvl w:val="0"/>
          <w:numId w:val="1006"/>
        </w:numPr>
      </w:pPr>
      <w:r>
        <w:t xml:space="preserve">Graph evolution after approved delivery.</w:t>
      </w:r>
    </w:p>
    <w:p>
      <w:pPr>
        <w:pStyle w:val="FirstParagraph"/>
      </w:pPr>
      <w:r>
        <w:t xml:space="preserve">It is not merely loading Markdown into Neo4j.</w:t>
      </w:r>
    </w:p>
    <w:p>
      <w:pPr>
        <w:pStyle w:val="CaptionedFigure"/>
        <w:keepNext/>
        <w:spacing w:before="80" w:after="40"/>
        <w:jc w:val="center"/>
      </w:pPr>
      <w:r>
        <w:drawing>
          <wp:inline>
            <wp:extent cx="8595360" cy="1328968"/>
            <wp:effectExtent b="0" l="0" r="0" t="0"/>
            <wp:docPr descr="12. Graph Engineering lifecycle" title="" id="54" name="Picture"/>
            <a:graphic>
              <a:graphicData uri="http://schemas.openxmlformats.org/drawingml/2006/picture">
                <pic:pic>
                  <pic:nvPicPr>
                    <pic:cNvPr descr="docs/assets/diagrams/BOS_AIDE_Loop_Graph_Architecture-0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5360" cy="1328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12. Graph Engineering lifecycle</w:t>
      </w:r>
    </w:p>
    <w:p>
      <w:pPr>
        <w:pStyle w:val="BodyText"/>
      </w:pPr>
      <w:r>
        <w:rPr>
          <w:i/>
          <w:iCs/>
        </w:rPr>
        <w:t xml:space="preserve">Mermaid source is preserved in the Markdown edition.</w:t>
      </w:r>
    </w:p>
    <w:p>
      <w:r>
        <w:pict>
          <v:rect style="width:0;height:1.5pt" o:hralign="center" o:hrstd="t" o:hr="t"/>
        </w:pict>
      </w:r>
    </w:p>
    <w:bookmarkEnd w:id="56"/>
    <w:bookmarkStart w:id="60" w:name="context-assembly"/>
    <w:p>
      <w:pPr>
        <w:pStyle w:val="Heading2"/>
        <w:keepNext/>
      </w:pPr>
      <w:r>
        <w:t xml:space="preserve">13. Context assembly</w:t>
      </w:r>
    </w:p>
    <w:p>
      <w:pPr>
        <w:pStyle w:val="CaptionedFigure"/>
        <w:keepNext/>
        <w:spacing w:before="80" w:after="40"/>
        <w:jc w:val="center"/>
      </w:pPr>
      <w:r>
        <w:drawing>
          <wp:inline>
            <wp:extent cx="8595360" cy="5594339"/>
            <wp:effectExtent b="0" l="0" r="0" t="0"/>
            <wp:docPr descr="13. Context assembly" title="" id="58" name="Picture"/>
            <a:graphic>
              <a:graphicData uri="http://schemas.openxmlformats.org/drawingml/2006/picture">
                <pic:pic>
                  <pic:nvPicPr>
                    <pic:cNvPr descr="docs/assets/diagrams/BOS_AIDE_Loop_Graph_Architecture-0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5360" cy="5594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13. Context assembly</w:t>
      </w:r>
    </w:p>
    <w:p>
      <w:pPr>
        <w:pStyle w:val="BodyText"/>
      </w:pPr>
      <w:r>
        <w:rPr>
          <w:i/>
          <w:iCs/>
        </w:rPr>
        <w:t xml:space="preserve">Mermaid source is preserved in the Markdown edition.</w:t>
      </w:r>
    </w:p>
    <w:p>
      <w:pPr>
        <w:pStyle w:val="BodyText"/>
      </w:pPr>
      <w:r>
        <w:t xml:space="preserve">Context packs are disposable views, not canonical knowledge.</w:t>
      </w:r>
    </w:p>
    <w:p>
      <w:r>
        <w:pict>
          <v:rect style="width:0;height:1.5pt" o:hralign="center" o:hrstd="t" o:hr="t"/>
        </w:pict>
      </w:r>
    </w:p>
    <w:bookmarkEnd w:id="60"/>
    <w:bookmarkStart w:id="61" w:name="context-pack-model"/>
    <w:p>
      <w:pPr>
        <w:pStyle w:val="Heading2"/>
        <w:keepNext/>
      </w:pPr>
      <w:r>
        <w:t xml:space="preserve">14. Context-pack model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generated/context-packs/&lt;story-id&gt;/</w:t>
      </w:r>
      <w:r>
        <w:br/>
      </w:r>
      <w:r>
        <w:rPr>
          <w:rStyle w:val="VerbatimChar"/>
        </w:rPr>
        <w:t xml:space="preserve">|-- objective.md</w:t>
      </w:r>
      <w:r>
        <w:br/>
      </w:r>
      <w:r>
        <w:rPr>
          <w:rStyle w:val="VerbatimChar"/>
        </w:rPr>
        <w:t xml:space="preserve">|-- acceptance-criteria.md</w:t>
      </w:r>
      <w:r>
        <w:br/>
      </w:r>
      <w:r>
        <w:rPr>
          <w:rStyle w:val="VerbatimChar"/>
        </w:rPr>
        <w:t xml:space="preserve">|-- affected-services.md</w:t>
      </w:r>
      <w:r>
        <w:br/>
      </w:r>
      <w:r>
        <w:rPr>
          <w:rStyle w:val="VerbatimChar"/>
        </w:rPr>
        <w:t xml:space="preserve">|-- user-flow.md</w:t>
      </w:r>
      <w:r>
        <w:br/>
      </w:r>
      <w:r>
        <w:rPr>
          <w:rStyle w:val="VerbatimChar"/>
        </w:rPr>
        <w:t xml:space="preserve">|-- current-contracts.md</w:t>
      </w:r>
      <w:r>
        <w:br/>
      </w:r>
      <w:r>
        <w:rPr>
          <w:rStyle w:val="VerbatimChar"/>
        </w:rPr>
        <w:t xml:space="preserve">|-- data-impact.md</w:t>
      </w:r>
      <w:r>
        <w:br/>
      </w:r>
      <w:r>
        <w:rPr>
          <w:rStyle w:val="VerbatimChar"/>
        </w:rPr>
        <w:t xml:space="preserve">|-- code-entry-points.md</w:t>
      </w:r>
      <w:r>
        <w:br/>
      </w:r>
      <w:r>
        <w:rPr>
          <w:rStyle w:val="VerbatimChar"/>
        </w:rPr>
        <w:t xml:space="preserve">|-- relevant-adrs.md</w:t>
      </w:r>
      <w:r>
        <w:br/>
      </w:r>
      <w:r>
        <w:rPr>
          <w:rStyle w:val="VerbatimChar"/>
        </w:rPr>
        <w:t xml:space="preserve">|-- existing-tests.md</w:t>
      </w:r>
      <w:r>
        <w:br/>
      </w:r>
      <w:r>
        <w:rPr>
          <w:rStyle w:val="VerbatimChar"/>
        </w:rPr>
        <w:t xml:space="preserve">|-- dependency-order.md</w:t>
      </w:r>
      <w:r>
        <w:br/>
      </w:r>
      <w:r>
        <w:rPr>
          <w:rStyle w:val="VerbatimChar"/>
        </w:rPr>
        <w:t xml:space="preserve">|-- rollout-and-rollback.md</w:t>
      </w:r>
      <w:r>
        <w:br/>
      </w:r>
      <w:r>
        <w:rPr>
          <w:rStyle w:val="VerbatimChar"/>
        </w:rPr>
        <w:t xml:space="preserve">|-- contradictions.md</w:t>
      </w:r>
      <w:r>
        <w:br/>
      </w:r>
      <w:r>
        <w:rPr>
          <w:rStyle w:val="VerbatimChar"/>
        </w:rPr>
        <w:t xml:space="preserve">`-- provenance.md</w:t>
      </w:r>
    </w:p>
    <w:p>
      <w:r>
        <w:pict>
          <v:rect style="width:0;height:1.5pt" o:hralign="center" o:hrstd="t" o:hr="t"/>
        </w:pict>
      </w:r>
    </w:p>
    <w:bookmarkEnd w:id="61"/>
    <w:bookmarkStart w:id="65" w:name="core-ontology"/>
    <w:p>
      <w:pPr>
        <w:pStyle w:val="Heading2"/>
        <w:keepNext/>
      </w:pPr>
      <w:r>
        <w:t xml:space="preserve">15. Core ontology</w:t>
      </w:r>
    </w:p>
    <w:p>
      <w:pPr>
        <w:pStyle w:val="CaptionedFigure"/>
        <w:keepNext/>
        <w:spacing w:before="80" w:after="40"/>
        <w:jc w:val="center"/>
      </w:pPr>
      <w:r>
        <w:drawing>
          <wp:inline>
            <wp:extent cx="8595360" cy="2637033"/>
            <wp:effectExtent b="0" l="0" r="0" t="0"/>
            <wp:docPr descr="15. Core ontology" title="" id="63" name="Picture"/>
            <a:graphic>
              <a:graphicData uri="http://schemas.openxmlformats.org/drawingml/2006/picture">
                <pic:pic>
                  <pic:nvPicPr>
                    <pic:cNvPr descr="docs/assets/diagrams/BOS_AIDE_Loop_Graph_Architecture-0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5360" cy="2637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15. Core ontology</w:t>
      </w:r>
    </w:p>
    <w:p>
      <w:pPr>
        <w:pStyle w:val="BodyText"/>
      </w:pPr>
      <w:r>
        <w:rPr>
          <w:i/>
          <w:iCs/>
        </w:rPr>
        <w:t xml:space="preserve">Mermaid source is preserved in the Markdown edition.</w:t>
      </w:r>
    </w:p>
    <w:p>
      <w:pPr>
        <w:pStyle w:val="BodyText"/>
      </w:pPr>
      <w:r>
        <w:t xml:space="preserve">Every fact should preserve source, commit, location or pointer, evidence class, confidence, review status, validity interval, last verification, extractor, and access scope.</w:t>
      </w:r>
    </w:p>
    <w:p>
      <w:r>
        <w:pict>
          <v:rect style="width:0;height:1.5pt" o:hralign="center" o:hrstd="t" o:hr="t"/>
        </w:pict>
      </w:r>
    </w:p>
    <w:bookmarkEnd w:id="65"/>
    <w:bookmarkStart w:id="69" w:name="contract-change-sequence"/>
    <w:p>
      <w:pPr>
        <w:pStyle w:val="Heading2"/>
        <w:keepNext/>
      </w:pPr>
      <w:r>
        <w:t xml:space="preserve">16. Contract change sequence</w:t>
      </w:r>
    </w:p>
    <w:p>
      <w:pPr>
        <w:pStyle w:val="CaptionedFigure"/>
        <w:keepNext/>
        <w:spacing w:before="80" w:after="40"/>
        <w:jc w:val="center"/>
      </w:pPr>
      <w:r>
        <w:drawing>
          <wp:inline>
            <wp:extent cx="8412480" cy="5623403"/>
            <wp:effectExtent b="0" l="0" r="0" t="0"/>
            <wp:docPr descr="16. Contract change sequence" title="" id="67" name="Picture"/>
            <a:graphic>
              <a:graphicData uri="http://schemas.openxmlformats.org/drawingml/2006/picture">
                <pic:pic>
                  <pic:nvPicPr>
                    <pic:cNvPr descr="docs/assets/diagrams/BOS_AIDE_Loop_Graph_Architecture-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2480" cy="5623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16. Contract change sequence</w:t>
      </w:r>
    </w:p>
    <w:p>
      <w:pPr>
        <w:pStyle w:val="BodyText"/>
      </w:pPr>
      <w:r>
        <w:rPr>
          <w:i/>
          <w:iCs/>
        </w:rPr>
        <w:t xml:space="preserve">Mermaid source is preserved in the Markdown edition.</w:t>
      </w:r>
    </w:p>
    <w:p>
      <w:r>
        <w:pict>
          <v:rect style="width:0;height:1.5pt" o:hralign="center" o:hrstd="t" o:hr="t"/>
        </w:pict>
      </w:r>
    </w:p>
    <w:bookmarkEnd w:id="69"/>
    <w:bookmarkStart w:id="73" w:name="self-learning-model"/>
    <w:p>
      <w:pPr>
        <w:pStyle w:val="Heading2"/>
        <w:keepNext/>
      </w:pPr>
      <w:r>
        <w:t xml:space="preserve">17. Self-learning model</w:t>
      </w:r>
    </w:p>
    <w:p>
      <w:pPr>
        <w:pStyle w:val="FirstParagraph"/>
      </w:pPr>
      <w:r>
        <w:t xml:space="preserve">Self-learning means evidence-driven improvement of knowledge and procedure, not unsupervised rewriting of architectural truth.</w:t>
      </w:r>
    </w:p>
    <w:p>
      <w:pPr>
        <w:pStyle w:val="CaptionedFigure"/>
        <w:keepNext/>
        <w:spacing w:before="80" w:after="40"/>
        <w:jc w:val="center"/>
      </w:pPr>
      <w:r>
        <w:drawing>
          <wp:inline>
            <wp:extent cx="8595360" cy="1418702"/>
            <wp:effectExtent b="0" l="0" r="0" t="0"/>
            <wp:docPr descr="17. Self-learning model" title="" id="71" name="Picture"/>
            <a:graphic>
              <a:graphicData uri="http://schemas.openxmlformats.org/drawingml/2006/picture">
                <pic:pic>
                  <pic:nvPicPr>
                    <pic:cNvPr descr="docs/assets/diagrams/BOS_AIDE_Loop_Graph_Architecture-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5360" cy="1418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17. Self-learning model</w:t>
      </w:r>
    </w:p>
    <w:p>
      <w:pPr>
        <w:pStyle w:val="BodyText"/>
      </w:pPr>
      <w:r>
        <w:rPr>
          <w:i/>
          <w:iCs/>
        </w:rPr>
        <w:t xml:space="preserve">Mermaid source is preserved in the Markdown edition.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fill="183153"/>
            <w:vAlign w:val="center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b/>
                <w:color w:val="FFFFFF"/>
                <w:sz w:val="16"/>
              </w:rPr>
              <w:t xml:space="preserve">Learning domain</w:t>
            </w:r>
          </w:p>
        </w:tc>
        <w:tc>
          <w:tcPr>
            <w:shd w:fill="183153"/>
            <w:vAlign w:val="center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b/>
                <w:color w:val="FFFFFF"/>
                <w:sz w:val="16"/>
              </w:rPr>
              <w:t xml:space="preserve">Examples</w:t>
            </w:r>
          </w:p>
        </w:tc>
        <w:tc>
          <w:tcPr>
            <w:shd w:fill="183153"/>
            <w:vAlign w:val="center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b/>
                <w:color w:val="FFFFFF"/>
                <w:sz w:val="16"/>
              </w:rPr>
              <w:t xml:space="preserve">Rule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Semantic knowledge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APIs, schemas, dependencies, ownership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Source-backed PR required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Episodic memory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Attempt, incident, task discussion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Advisory and retention-controlled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Procedural knowledge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Testing or migration convention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Promote to steering after reviewed evidence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Retrieval learning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Query misses and accepted context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Improve ranking, not canonical facts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7" w:name="trust-and-security-boundaries"/>
    <w:p>
      <w:pPr>
        <w:pStyle w:val="Heading2"/>
        <w:keepNext/>
      </w:pPr>
      <w:r>
        <w:t xml:space="preserve">18. Trust and security boundaries</w:t>
      </w:r>
    </w:p>
    <w:p>
      <w:pPr>
        <w:pStyle w:val="CaptionedFigure"/>
        <w:keepNext/>
        <w:spacing w:before="80" w:after="40"/>
        <w:jc w:val="center"/>
      </w:pPr>
      <w:r>
        <w:drawing>
          <wp:inline>
            <wp:extent cx="8595360" cy="2416451"/>
            <wp:effectExtent b="0" l="0" r="0" t="0"/>
            <wp:docPr descr="18. Trust and security boundaries" title="" id="75" name="Picture"/>
            <a:graphic>
              <a:graphicData uri="http://schemas.openxmlformats.org/drawingml/2006/picture">
                <pic:pic>
                  <pic:nvPicPr>
                    <pic:cNvPr descr="docs/assets/diagrams/BOS_AIDE_Loop_Graph_Architecture-1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5360" cy="2416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18. Trust and security boundaries</w:t>
      </w:r>
    </w:p>
    <w:p>
      <w:pPr>
        <w:pStyle w:val="BodyText"/>
      </w:pPr>
      <w:r>
        <w:rPr>
          <w:i/>
          <w:iCs/>
        </w:rPr>
        <w:t xml:space="preserve">Mermaid source is preserved in the Markdown edition.</w:t>
      </w:r>
    </w:p>
    <w:p>
      <w:pPr>
        <w:pStyle w:val="BodyText"/>
      </w:pPr>
      <w:r>
        <w:t xml:space="preserve">The transition from candidate changes to authority always crosses validation and human review.</w:t>
      </w:r>
    </w:p>
    <w:p>
      <w:r>
        <w:pict>
          <v:rect style="width:0;height:1.5pt" o:hralign="center" o:hrstd="t" o:hr="t"/>
        </w:pict>
      </w:r>
    </w:p>
    <w:bookmarkEnd w:id="77"/>
    <w:bookmarkStart w:id="81" w:name="windows-native-deployment"/>
    <w:p>
      <w:pPr>
        <w:pStyle w:val="Heading2"/>
        <w:keepNext/>
      </w:pPr>
      <w:r>
        <w:t xml:space="preserve">19. Windows native deployment</w:t>
      </w:r>
    </w:p>
    <w:p>
      <w:pPr>
        <w:pStyle w:val="CaptionedFigure"/>
        <w:keepNext/>
        <w:spacing w:before="80" w:after="40"/>
        <w:jc w:val="center"/>
      </w:pPr>
      <w:r>
        <w:drawing>
          <wp:inline>
            <wp:extent cx="7562087" cy="5622562"/>
            <wp:effectExtent b="0" l="0" r="0" t="0"/>
            <wp:docPr descr="19. Windows native deployment" title="" id="79" name="Picture"/>
            <a:graphic>
              <a:graphicData uri="http://schemas.openxmlformats.org/drawingml/2006/picture">
                <pic:pic>
                  <pic:nvPicPr>
                    <pic:cNvPr descr="docs/assets/diagrams/BOS_AIDE_Loop_Graph_Architecture-1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087" cy="5622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19. Windows native deployment</w:t>
      </w:r>
    </w:p>
    <w:p>
      <w:pPr>
        <w:pStyle w:val="BodyText"/>
      </w:pPr>
      <w:r>
        <w:rPr>
          <w:i/>
          <w:iCs/>
        </w:rPr>
        <w:t xml:space="preserve">Mermaid source is preserved in the Markdown edition.</w:t>
      </w:r>
    </w:p>
    <w:p>
      <w:r>
        <w:pict>
          <v:rect style="width:0;height:1.5pt" o:hralign="center" o:hrstd="t" o:hr="t"/>
        </w:pict>
      </w:r>
    </w:p>
    <w:bookmarkEnd w:id="81"/>
    <w:bookmarkStart w:id="82" w:name="mcp-design"/>
    <w:p>
      <w:pPr>
        <w:pStyle w:val="Heading2"/>
        <w:keepNext/>
      </w:pPr>
      <w:r>
        <w:t xml:space="preserve">20. MCP design</w:t>
      </w:r>
    </w:p>
    <w:p>
      <w:pPr>
        <w:pStyle w:val="FirstParagraph"/>
      </w:pPr>
      <w:r>
        <w:t xml:space="preserve">Read tools: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list_knowledge_pages</w:t>
      </w:r>
      <w:r>
        <w:br/>
      </w:r>
      <w:r>
        <w:rPr>
          <w:rStyle w:val="VerbatimChar"/>
        </w:rPr>
        <w:t xml:space="preserve">read_knowledge_page</w:t>
      </w:r>
      <w:r>
        <w:br/>
      </w:r>
      <w:r>
        <w:rPr>
          <w:rStyle w:val="VerbatimChar"/>
        </w:rPr>
        <w:t xml:space="preserve">get_entity</w:t>
      </w:r>
      <w:r>
        <w:br/>
      </w:r>
      <w:r>
        <w:rPr>
          <w:rStyle w:val="VerbatimChar"/>
        </w:rPr>
        <w:t xml:space="preserve">search_knowledge</w:t>
      </w:r>
      <w:r>
        <w:br/>
      </w:r>
      <w:r>
        <w:rPr>
          <w:rStyle w:val="VerbatimChar"/>
        </w:rPr>
        <w:t xml:space="preserve">trace_dependencies</w:t>
      </w:r>
      <w:r>
        <w:br/>
      </w:r>
      <w:r>
        <w:rPr>
          <w:rStyle w:val="VerbatimChar"/>
        </w:rPr>
        <w:t xml:space="preserve">analyze_change_impact</w:t>
      </w:r>
      <w:r>
        <w:br/>
      </w:r>
      <w:r>
        <w:rPr>
          <w:rStyle w:val="VerbatimChar"/>
        </w:rPr>
        <w:t xml:space="preserve">resolve_task_context</w:t>
      </w:r>
      <w:r>
        <w:br/>
      </w:r>
      <w:r>
        <w:rPr>
          <w:rStyle w:val="VerbatimChar"/>
        </w:rPr>
        <w:t xml:space="preserve">list_contradictions</w:t>
      </w:r>
    </w:p>
    <w:p>
      <w:pPr>
        <w:pStyle w:val="FirstParagraph"/>
      </w:pPr>
      <w:r>
        <w:t xml:space="preserve">Controlled write tool: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propose_knowledge_delta</w:t>
      </w:r>
    </w:p>
    <w:p>
      <w:pPr>
        <w:pStyle w:val="FirstParagraph"/>
      </w:pPr>
      <w:r>
        <w:t xml:space="preserve">The write tool may create a candidate only under</w:t>
      </w:r>
      <w:r>
        <w:t xml:space="preserve"> </w:t>
      </w:r>
      <w:r>
        <w:rPr>
          <w:rStyle w:val="VerbatimChar"/>
        </w:rPr>
        <w:t xml:space="preserve">generated/candidates/</w:t>
      </w:r>
      <w:r>
        <w:t xml:space="preserve">. It cannot write to</w:t>
      </w:r>
      <w:r>
        <w:t xml:space="preserve"> </w:t>
      </w:r>
      <w:r>
        <w:rPr>
          <w:rStyle w:val="VerbatimChar"/>
        </w:rPr>
        <w:t xml:space="preserve">wiki/</w:t>
      </w:r>
      <w:r>
        <w:t xml:space="preserve">, merge a branch, or publish graph facts.</w:t>
      </w:r>
    </w:p>
    <w:p>
      <w:r>
        <w:pict>
          <v:rect style="width:0;height:1.5pt" o:hralign="center" o:hrstd="t" o:hr="t"/>
        </w:pict>
      </w:r>
    </w:p>
    <w:bookmarkEnd w:id="82"/>
    <w:bookmarkStart w:id="83" w:name="openwiki-architecture"/>
    <w:p>
      <w:pPr>
        <w:pStyle w:val="Heading2"/>
        <w:keepNext/>
      </w:pPr>
      <w:r>
        <w:t xml:space="preserve">21. OpenWiki architecture</w:t>
      </w:r>
    </w:p>
    <w:p>
      <w:pPr>
        <w:pStyle w:val="SourceCode"/>
        <w:shd w:fill="F6F8FA"/>
        <w:ind w:left="173" w:right="86"/>
      </w:pPr>
      <w:r>
        <w:rPr>
          <w:rStyle w:val="VerbatimChar"/>
        </w:rPr>
        <w:t xml:space="preserve">Approved wiki and source evidence</w:t>
      </w:r>
      <w:r>
        <w:br/>
      </w:r>
      <w:r>
        <w:rPr>
          <w:rStyle w:val="VerbatimChar"/>
        </w:rPr>
        <w:t xml:space="preserve">    -&gt; OpenWiki generation</w:t>
      </w:r>
      <w:r>
        <w:br/>
      </w:r>
      <w:r>
        <w:rPr>
          <w:rStyle w:val="VerbatimChar"/>
        </w:rPr>
        <w:t xml:space="preserve">    -&gt; openwiki/ derived Markdown</w:t>
      </w:r>
      <w:r>
        <w:br/>
      </w:r>
      <w:r>
        <w:rPr>
          <w:rStyle w:val="VerbatimChar"/>
        </w:rPr>
        <w:t xml:space="preserve">    -&gt; documentation PR</w:t>
      </w:r>
      <w:r>
        <w:br/>
      </w:r>
      <w:r>
        <w:rPr>
          <w:rStyle w:val="VerbatimChar"/>
        </w:rPr>
        <w:t xml:space="preserve">    -&gt; review</w:t>
      </w:r>
      <w:r>
        <w:br/>
      </w:r>
      <w:r>
        <w:rPr>
          <w:rStyle w:val="VerbatimChar"/>
        </w:rPr>
        <w:t xml:space="preserve">    -&gt; Zensical portal</w:t>
      </w:r>
    </w:p>
    <w:p>
      <w:pPr>
        <w:pStyle w:val="FirstParagraph"/>
      </w:pPr>
      <w:r>
        <w:t xml:space="preserve">OpenWiki pages may orient a reader or agent. Exact code, contract, and schema decisions must rely on canonical and source evidence.</w:t>
      </w:r>
    </w:p>
    <w:p>
      <w:r>
        <w:pict>
          <v:rect style="width:0;height:1.5pt" o:hralign="center" o:hrstd="t" o:hr="t"/>
        </w:pict>
      </w:r>
    </w:p>
    <w:bookmarkEnd w:id="83"/>
    <w:bookmarkStart w:id="84" w:name="failure-routing"/>
    <w:p>
      <w:pPr>
        <w:pStyle w:val="Heading2"/>
        <w:keepNext/>
      </w:pPr>
      <w:r>
        <w:t xml:space="preserve">22. Failure routing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fill="183153"/>
            <w:vAlign w:val="center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b/>
                <w:color w:val="FFFFFF"/>
                <w:sz w:val="16"/>
              </w:rPr>
              <w:t xml:space="preserve">Failure</w:t>
            </w:r>
          </w:p>
        </w:tc>
        <w:tc>
          <w:tcPr>
            <w:shd w:fill="183153"/>
            <w:vAlign w:val="center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b/>
                <w:color w:val="FFFFFF"/>
                <w:sz w:val="16"/>
              </w:rPr>
              <w:t xml:space="preserve">Required response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Local build/test failure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Continue local loop within scope and budget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New service dependency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Terminate ESCALATE and update enterprise impact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Contract incompatibility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Route to contract loop and owners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E2E failure with graph path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Route to responsible service or edge loop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Unknown failure owner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ESCALATE and create a knowledge-gap candidate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Graphiti provider unavailable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Continue with Markdown and exact Neo4j graph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Neo4j unavailable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Stop graph-dependent planning; do not invent impact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Contradictory current facts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Surface both with provenance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OpenWiki hallucination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Reject derived documentation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Loop budget exhausted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Terminate FAIL or ESCALATE; never continue indefinitely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observability-and-evaluation"/>
    <w:p>
      <w:pPr>
        <w:pStyle w:val="Heading2"/>
        <w:keepNext/>
      </w:pPr>
      <w:r>
        <w:t xml:space="preserve">23. Observability and evaluation</w:t>
      </w:r>
    </w:p>
    <w:p>
      <w:pPr>
        <w:pStyle w:val="FirstParagraph"/>
      </w:pPr>
      <w:r>
        <w:t xml:space="preserve">Collect:</w:t>
      </w:r>
    </w:p>
    <w:p>
      <w:pPr>
        <w:pStyle w:val="Compact"/>
        <w:numPr>
          <w:ilvl w:val="0"/>
          <w:numId w:val="1007"/>
        </w:numPr>
      </w:pPr>
      <w:r>
        <w:t xml:space="preserve">MCP request count, latency, errors, and tool use.</w:t>
      </w:r>
    </w:p>
    <w:p>
      <w:pPr>
        <w:pStyle w:val="Compact"/>
        <w:numPr>
          <w:ilvl w:val="0"/>
          <w:numId w:val="1007"/>
        </w:numPr>
      </w:pPr>
      <w:r>
        <w:t xml:space="preserve">Neo4j query latency and result size.</w:t>
      </w:r>
    </w:p>
    <w:p>
      <w:pPr>
        <w:pStyle w:val="Compact"/>
        <w:numPr>
          <w:ilvl w:val="0"/>
          <w:numId w:val="1007"/>
        </w:numPr>
      </w:pPr>
      <w:r>
        <w:t xml:space="preserve">Graphiti provider cost, latency, and failures.</w:t>
      </w:r>
    </w:p>
    <w:p>
      <w:pPr>
        <w:pStyle w:val="Compact"/>
        <w:numPr>
          <w:ilvl w:val="0"/>
          <w:numId w:val="1007"/>
        </w:numPr>
      </w:pPr>
      <w:r>
        <w:t xml:space="preserve">Ingestion duration, nodes, edges, contradictions, and staleness.</w:t>
      </w:r>
    </w:p>
    <w:p>
      <w:pPr>
        <w:pStyle w:val="Compact"/>
        <w:numPr>
          <w:ilvl w:val="0"/>
          <w:numId w:val="1007"/>
        </w:numPr>
      </w:pPr>
      <w:r>
        <w:t xml:space="preserve">Loop iterations, elapsed time, terminal state, gates, files, and credits.</w:t>
      </w:r>
    </w:p>
    <w:p>
      <w:pPr>
        <w:pStyle w:val="Compact"/>
        <w:numPr>
          <w:ilvl w:val="0"/>
          <w:numId w:val="1007"/>
        </w:numPr>
      </w:pPr>
      <w:r>
        <w:t xml:space="preserve">OpenWiki changed pages and PR acceptance.</w:t>
      </w:r>
    </w:p>
    <w:p>
      <w:pPr>
        <w:pStyle w:val="FirstParagraph"/>
      </w:pPr>
      <w:r>
        <w:t xml:space="preserve">Measure: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fill="183153"/>
            <w:vAlign w:val="center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b/>
                <w:color w:val="FFFFFF"/>
                <w:sz w:val="16"/>
              </w:rPr>
              <w:t xml:space="preserve">Metric</w:t>
            </w:r>
          </w:p>
        </w:tc>
        <w:tc>
          <w:tcPr>
            <w:shd w:fill="183153"/>
            <w:vAlign w:val="center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b/>
                <w:color w:val="FFFFFF"/>
                <w:sz w:val="16"/>
              </w:rPr>
              <w:t xml:space="preserve">Purpose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Context precision and recall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Useful context without missing critical facts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Provenance coverage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Claims with resolvable evidence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Contract hallucination rate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Invented endpoint/event/field/table references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Impact-analysis accuracy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Correct affected services and consumers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Loop convergence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PASS rate and iterations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Escalation quality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Correct owner, evidence, and decision request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Knowledge-delta acceptance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Candidate learning approved after review</w:t>
            </w:r>
          </w:p>
        </w:tc>
      </w:tr>
      <w:tr>
        <w:trPr>
          <w:cantSplit/>
        </w:trPr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Delivery outcome</w:t>
            </w:r>
          </w:p>
        </w:tc>
        <w:tc>
          <w:tcPr>
            <w:tcMar>
              <w:top w:w="70" w:type="dxa"/>
              <w:start w:w="90" w:type="dxa"/>
              <w:bottom w:w="70" w:type="dxa"/>
              <w:end w:w="90" w:type="dxa"/>
            </w:tcMar>
            <w:shd w:fill="F7F9FC"/>
          </w:tcPr>
          <w:p>
            <w:pPr>
              <w:keepNext w:val="0"/>
              <w:keepLines w:val="0"/>
              <w:spacing w:before="0" w:after="30"/>
              <w:jc w:val="left"/>
            </w:pPr>
            <w:r>
              <w:rPr>
                <w:sz w:val="16"/>
              </w:rPr>
              <w:t xml:space="preserve">CI, defects, rollback, and lead-time results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90" w:name="scalability"/>
    <w:p>
      <w:pPr>
        <w:pStyle w:val="Heading2"/>
        <w:keepNext/>
      </w:pPr>
      <w:r>
        <w:t xml:space="preserve">24. Scalability</w:t>
      </w:r>
    </w:p>
    <w:bookmarkStart w:id="86" w:name="small-service"/>
    <w:p>
      <w:pPr>
        <w:pStyle w:val="Heading3"/>
        <w:keepNext/>
      </w:pPr>
      <w:r>
        <w:t xml:space="preserve">Small service</w:t>
      </w:r>
    </w:p>
    <w:p>
      <w:pPr>
        <w:pStyle w:val="FirstParagraph"/>
      </w:pPr>
      <w:r>
        <w:t xml:space="preserve">Use local Kiro specs, bounded loops, direct Markdown indexing, and optionally a lightweight graph.</w:t>
      </w:r>
    </w:p>
    <w:bookmarkEnd w:id="86"/>
    <w:bookmarkStart w:id="87" w:name="six-to-seven-services"/>
    <w:p>
      <w:pPr>
        <w:pStyle w:val="Heading3"/>
        <w:keepNext/>
      </w:pPr>
      <w:r>
        <w:t xml:space="preserve">Six to seven services</w:t>
      </w:r>
    </w:p>
    <w:p>
      <w:pPr>
        <w:pStyle w:val="FirstParagraph"/>
      </w:pPr>
      <w:r>
        <w:t xml:space="preserve">Use the complete design: enterprise spec, Neo4j, Graphiti, MCP, service loops, contract loop, E2E loop, OpenWiki, and merge-gated learning.</w:t>
      </w:r>
    </w:p>
    <w:bookmarkEnd w:id="87"/>
    <w:bookmarkStart w:id="88" w:name="large-legacy-estate"/>
    <w:p>
      <w:pPr>
        <w:pStyle w:val="Heading3"/>
        <w:keepNext/>
      </w:pPr>
      <w:r>
        <w:t xml:space="preserve">Large legacy estate</w:t>
      </w:r>
    </w:p>
    <w:p>
      <w:pPr>
        <w:pStyle w:val="FirstParagraph"/>
      </w:pPr>
      <w:r>
        <w:t xml:space="preserve">Add Tree-sitter/SCIP-style code intelligence, incremental ingestion, repository federation, access-control propagation, and stronger evidence-class separation.</w:t>
      </w:r>
    </w:p>
    <w:bookmarkEnd w:id="88"/>
    <w:bookmarkStart w:id="89" w:name="enterprise-federation"/>
    <w:p>
      <w:pPr>
        <w:pStyle w:val="Heading3"/>
        <w:keepNext/>
      </w:pPr>
      <w:r>
        <w:t xml:space="preserve">Enterprise federation</w:t>
      </w:r>
    </w:p>
    <w:p>
      <w:pPr>
        <w:pStyle w:val="FirstParagraph"/>
      </w:pPr>
      <w:r>
        <w:t xml:space="preserve">Use globally unique IDs and a shared ontology while allowing domain-owned knowledge repositories and graph groups.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8" w:name="architecture-decisions"/>
    <w:p>
      <w:pPr>
        <w:pStyle w:val="Heading2"/>
        <w:keepNext/>
      </w:pPr>
      <w:r>
        <w:t xml:space="preserve">25. Architecture decisions</w:t>
      </w:r>
    </w:p>
    <w:bookmarkStart w:id="91" w:name="adr-001---git-markdown-is-canonical"/>
    <w:p>
      <w:pPr>
        <w:pStyle w:val="Heading3"/>
        <w:keepNext/>
      </w:pPr>
      <w:r>
        <w:t xml:space="preserve">ADR-001 - Git Markdown is canonical</w:t>
      </w:r>
    </w:p>
    <w:p>
      <w:pPr>
        <w:pStyle w:val="FirstParagraph"/>
      </w:pPr>
      <w:r>
        <w:t xml:space="preserve">Graphs are rebuildable; publication uses ordinary PR governance.</w:t>
      </w:r>
    </w:p>
    <w:bookmarkEnd w:id="91"/>
    <w:bookmarkStart w:id="92" w:name="X5cda7cb0f268cc7ef270757abb385997d8bfe09"/>
    <w:p>
      <w:pPr>
        <w:pStyle w:val="Heading3"/>
        <w:keepNext/>
      </w:pPr>
      <w:r>
        <w:t xml:space="preserve">ADR-002 - Exact and temporal graphs coexist</w:t>
      </w:r>
    </w:p>
    <w:p>
      <w:pPr>
        <w:pStyle w:val="FirstParagraph"/>
      </w:pPr>
      <w:r>
        <w:t xml:space="preserve">Neo4j stores deterministic facts; Graphiti supplies temporal and semantic context.</w:t>
      </w:r>
    </w:p>
    <w:bookmarkEnd w:id="92"/>
    <w:bookmarkStart w:id="93" w:name="adr-003---custom-mcp-policy-facade"/>
    <w:p>
      <w:pPr>
        <w:pStyle w:val="Heading3"/>
        <w:keepNext/>
      </w:pPr>
      <w:r>
        <w:t xml:space="preserve">ADR-003 - Custom MCP policy facade</w:t>
      </w:r>
    </w:p>
    <w:p>
      <w:pPr>
        <w:pStyle w:val="FirstParagraph"/>
      </w:pPr>
      <w:r>
        <w:t xml:space="preserve">Kiro receives task-oriented tools, not unrestricted Cypher or graph administration.</w:t>
      </w:r>
    </w:p>
    <w:bookmarkEnd w:id="93"/>
    <w:bookmarkStart w:id="94" w:name="X8320423ab35d04f7b514b5426789430a2d87572"/>
    <w:p>
      <w:pPr>
        <w:pStyle w:val="Heading3"/>
        <w:keepNext/>
      </w:pPr>
      <w:r>
        <w:t xml:space="preserve">ADR-004 - Multi-service work uses nested loops</w:t>
      </w:r>
    </w:p>
    <w:p>
      <w:pPr>
        <w:pStyle w:val="FirstParagraph"/>
      </w:pPr>
      <w:r>
        <w:t xml:space="preserve">The enterprise orchestrator coordinates bounded service, contract, integration, and E2E loops.</w:t>
      </w:r>
    </w:p>
    <w:bookmarkEnd w:id="94"/>
    <w:bookmarkStart w:id="95" w:name="adr-005---openwiki-is-derived"/>
    <w:p>
      <w:pPr>
        <w:pStyle w:val="Heading3"/>
        <w:keepNext/>
      </w:pPr>
      <w:r>
        <w:t xml:space="preserve">ADR-005 - OpenWiki is derived</w:t>
      </w:r>
    </w:p>
    <w:p>
      <w:pPr>
        <w:pStyle w:val="FirstParagraph"/>
      </w:pPr>
      <w:r>
        <w:t xml:space="preserve">Generated documentation cannot override canonical knowledge.</w:t>
      </w:r>
    </w:p>
    <w:bookmarkEnd w:id="95"/>
    <w:bookmarkStart w:id="96" w:name="adr-006---native-windows-baseline"/>
    <w:p>
      <w:pPr>
        <w:pStyle w:val="Heading3"/>
        <w:keepNext/>
      </w:pPr>
      <w:r>
        <w:t xml:space="preserve">ADR-006 - Native Windows baseline</w:t>
      </w:r>
    </w:p>
    <w:p>
      <w:pPr>
        <w:pStyle w:val="FirstParagraph"/>
      </w:pPr>
      <w:r>
        <w:t xml:space="preserve">Neo4j runs as a service; Python and Node tools run natively without containers.</w:t>
      </w:r>
    </w:p>
    <w:bookmarkEnd w:id="96"/>
    <w:bookmarkStart w:id="97" w:name="adr-007---zensical-for-new-portals"/>
    <w:p>
      <w:pPr>
        <w:pStyle w:val="Heading3"/>
        <w:keepNext/>
      </w:pPr>
      <w:r>
        <w:t xml:space="preserve">ADR-007 - Zensical for new portals</w:t>
      </w:r>
    </w:p>
    <w:p>
      <w:pPr>
        <w:pStyle w:val="FirstParagraph"/>
      </w:pPr>
      <w:r>
        <w:t xml:space="preserve">Use a current Mermaid-capable documentation generator while preserving Markdown portability.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delivery-roadmap"/>
    <w:p>
      <w:pPr>
        <w:pStyle w:val="Heading2"/>
        <w:keepNext/>
      </w:pPr>
      <w:r>
        <w:t xml:space="preserve">26. Delivery roadmap</w:t>
      </w:r>
    </w:p>
    <w:p>
      <w:pPr>
        <w:pStyle w:val="Compact"/>
        <w:numPr>
          <w:ilvl w:val="0"/>
          <w:numId w:val="1008"/>
        </w:numPr>
      </w:pPr>
      <w:r>
        <w:t xml:space="preserve">Standardize Kiro Feature Specs and deterministic local loops.</w:t>
      </w:r>
    </w:p>
    <w:p>
      <w:pPr>
        <w:pStyle w:val="Compact"/>
        <w:numPr>
          <w:ilvl w:val="0"/>
          <w:numId w:val="1008"/>
        </w:numPr>
      </w:pPr>
      <w:r>
        <w:t xml:space="preserve">Normalize canonical Markdown and build the exact Neo4j graph.</w:t>
      </w:r>
    </w:p>
    <w:p>
      <w:pPr>
        <w:pStyle w:val="Compact"/>
        <w:numPr>
          <w:ilvl w:val="0"/>
          <w:numId w:val="1008"/>
        </w:numPr>
      </w:pPr>
      <w:r>
        <w:t xml:space="preserve">Add graph-backed impact and bounded service-local specs.</w:t>
      </w:r>
    </w:p>
    <w:p>
      <w:pPr>
        <w:pStyle w:val="Compact"/>
        <w:numPr>
          <w:ilvl w:val="0"/>
          <w:numId w:val="1008"/>
        </w:numPr>
      </w:pPr>
      <w:r>
        <w:t xml:space="preserve">Add contract, integration, and E2E loops.</w:t>
      </w:r>
    </w:p>
    <w:p>
      <w:pPr>
        <w:pStyle w:val="Compact"/>
        <w:numPr>
          <w:ilvl w:val="0"/>
          <w:numId w:val="1008"/>
        </w:numPr>
      </w:pPr>
      <w:r>
        <w:t xml:space="preserve">Enable Graphiti with an approved provider.</w:t>
      </w:r>
    </w:p>
    <w:p>
      <w:pPr>
        <w:pStyle w:val="Compact"/>
        <w:numPr>
          <w:ilvl w:val="0"/>
          <w:numId w:val="1008"/>
        </w:numPr>
      </w:pPr>
      <w:r>
        <w:t xml:space="preserve">Add OpenWiki and the Zensical portal.</w:t>
      </w:r>
    </w:p>
    <w:p>
      <w:pPr>
        <w:pStyle w:val="Compact"/>
        <w:numPr>
          <w:ilvl w:val="0"/>
          <w:numId w:val="1008"/>
        </w:numPr>
      </w:pPr>
      <w:r>
        <w:t xml:space="preserve">Add access-control propagation, evaluation, and federation.</w:t>
      </w:r>
    </w:p>
    <w:p>
      <w:r>
        <w:pict>
          <v:rect style="width:0;height:1.5pt" o:hralign="center" o:hrstd="t" o:hr="t"/>
        </w:pict>
      </w:r>
    </w:p>
    <w:bookmarkEnd w:id="99"/>
    <w:bookmarkStart w:id="100" w:name="architecture-acceptance-criteria"/>
    <w:p>
      <w:pPr>
        <w:pStyle w:val="Heading2"/>
        <w:keepNext/>
      </w:pPr>
      <w:r>
        <w:t xml:space="preserve">27. Architecture acceptance criteria</w:t>
      </w:r>
    </w:p>
    <w:p>
      <w:pPr>
        <w:pStyle w:val="Compact"/>
        <w:numPr>
          <w:ilvl w:val="0"/>
          <w:numId w:val="1009"/>
        </w:numPr>
      </w:pPr>
      <w:r>
        <w:t xml:space="preserve">☐ Exact graph rebuilds from approved Markdown.</w:t>
      </w:r>
    </w:p>
    <w:p>
      <w:pPr>
        <w:pStyle w:val="Compact"/>
        <w:numPr>
          <w:ilvl w:val="0"/>
          <w:numId w:val="1009"/>
        </w:numPr>
      </w:pPr>
      <w:r>
        <w:t xml:space="preserve">☐ Every published graph fact has provenance and review status.</w:t>
      </w:r>
    </w:p>
    <w:p>
      <w:pPr>
        <w:pStyle w:val="Compact"/>
        <w:numPr>
          <w:ilvl w:val="0"/>
          <w:numId w:val="1009"/>
        </w:numPr>
      </w:pPr>
      <w:r>
        <w:t xml:space="preserve">☐ Single-service loops enforce repository, path, gate, and budget scope.</w:t>
      </w:r>
    </w:p>
    <w:p>
      <w:pPr>
        <w:pStyle w:val="Compact"/>
        <w:numPr>
          <w:ilvl w:val="0"/>
          <w:numId w:val="1009"/>
        </w:numPr>
      </w:pPr>
      <w:r>
        <w:t xml:space="preserve">☐ Multi-service changes have one enterprise spec and one local spec per affected service.</w:t>
      </w:r>
    </w:p>
    <w:p>
      <w:pPr>
        <w:pStyle w:val="Compact"/>
        <w:numPr>
          <w:ilvl w:val="0"/>
          <w:numId w:val="1009"/>
        </w:numPr>
      </w:pPr>
      <w:r>
        <w:t xml:space="preserve">☐ Contract and E2E loops pass before coordinated merge.</w:t>
      </w:r>
    </w:p>
    <w:p>
      <w:pPr>
        <w:pStyle w:val="Compact"/>
        <w:numPr>
          <w:ilvl w:val="0"/>
          <w:numId w:val="1009"/>
        </w:numPr>
      </w:pPr>
      <w:r>
        <w:t xml:space="preserve">☐ Kiro cannot silently expand a service loop into another repository.</w:t>
      </w:r>
    </w:p>
    <w:p>
      <w:pPr>
        <w:pStyle w:val="Compact"/>
        <w:numPr>
          <w:ilvl w:val="0"/>
          <w:numId w:val="1009"/>
        </w:numPr>
      </w:pPr>
      <w:r>
        <w:t xml:space="preserve">☐ Exact retrieval works during Graphiti/provider degradation.</w:t>
      </w:r>
    </w:p>
    <w:p>
      <w:pPr>
        <w:pStyle w:val="Compact"/>
        <w:numPr>
          <w:ilvl w:val="0"/>
          <w:numId w:val="1009"/>
        </w:numPr>
      </w:pPr>
      <w:r>
        <w:t xml:space="preserve">☐ OpenWiki cannot overwrite canonical knowledge.</w:t>
      </w:r>
    </w:p>
    <w:p>
      <w:pPr>
        <w:pStyle w:val="Compact"/>
        <w:numPr>
          <w:ilvl w:val="0"/>
          <w:numId w:val="1009"/>
        </w:numPr>
      </w:pPr>
      <w:r>
        <w:t xml:space="preserve">☐ Candidate learning cannot bypass CI and review.</w:t>
      </w:r>
    </w:p>
    <w:p>
      <w:pPr>
        <w:pStyle w:val="Compact"/>
        <w:numPr>
          <w:ilvl w:val="0"/>
          <w:numId w:val="1009"/>
        </w:numPr>
      </w:pPr>
      <w:r>
        <w:t xml:space="preserve">☐ The developer topology runs natively on Windows.</w:t>
      </w:r>
    </w:p>
    <w:p>
      <w:r>
        <w:pict>
          <v:rect style="width:0;height:1.5pt" o:hralign="center" o:hrstd="t" o:hr="t"/>
        </w:pict>
      </w:r>
    </w:p>
    <w:bookmarkEnd w:id="100"/>
    <w:bookmarkStart w:id="101" w:name="summary"/>
    <w:p>
      <w:pPr>
        <w:pStyle w:val="Heading2"/>
        <w:keepNext/>
      </w:pPr>
      <w:r>
        <w:t xml:space="preserve">28. Summary</w:t>
      </w:r>
    </w:p>
    <w:p>
      <w:pPr>
        <w:pStyle w:val="BlockText"/>
      </w:pPr>
      <w:r>
        <w:t xml:space="preserve">The specification defines the destination.</w:t>
      </w:r>
      <w:r>
        <w:br/>
      </w:r>
      <w:r>
        <w:t xml:space="preserve">The graph identifies the connected route and evidence.</w:t>
      </w:r>
      <w:r>
        <w:br/>
      </w:r>
      <w:r>
        <w:t xml:space="preserve">Bounded loops implement, observe, adjust, and prove the journey.</w:t>
      </w:r>
      <w:r>
        <w:br/>
      </w:r>
      <w:r>
        <w:t xml:space="preserve">Deterministic gates and humans decide what is accepted and learned.</w:t>
      </w:r>
    </w:p>
    <w:p>
      <w:r>
        <w:pict>
          <v:rect style="width:0;height:1.5pt" o:hralign="center" o:hrstd="t" o:hr="t"/>
        </w:pict>
      </w:r>
    </w:p>
    <w:bookmarkEnd w:id="101"/>
    <w:bookmarkStart w:id="102" w:name="primary-references"/>
    <w:p>
      <w:pPr>
        <w:pStyle w:val="Heading2"/>
        <w:keepNext/>
      </w:pPr>
      <w:r>
        <w:t xml:space="preserve">29. Primary references</w:t>
      </w:r>
    </w:p>
    <w:p>
      <w:pPr>
        <w:pStyle w:val="Compact"/>
        <w:numPr>
          <w:ilvl w:val="0"/>
          <w:numId w:val="1010"/>
        </w:numPr>
      </w:pPr>
      <w:r>
        <w:t xml:space="preserve">Kiro Feature Specs: https://kiro.dev/docs/specs/feature-specs/</w:t>
      </w:r>
    </w:p>
    <w:p>
      <w:pPr>
        <w:pStyle w:val="Compact"/>
        <w:numPr>
          <w:ilvl w:val="0"/>
          <w:numId w:val="1010"/>
        </w:numPr>
      </w:pPr>
      <w:r>
        <w:t xml:space="preserve">Kiro MCP: https://kiro.dev/docs/mcp/</w:t>
      </w:r>
    </w:p>
    <w:p>
      <w:pPr>
        <w:pStyle w:val="Compact"/>
        <w:numPr>
          <w:ilvl w:val="0"/>
          <w:numId w:val="1010"/>
        </w:numPr>
      </w:pPr>
      <w:r>
        <w:t xml:space="preserve">Kiro custom agents: https://kiro.dev/docs/cli/custom-agents/configuration-reference/</w:t>
      </w:r>
    </w:p>
    <w:p>
      <w:pPr>
        <w:pStyle w:val="Compact"/>
        <w:numPr>
          <w:ilvl w:val="0"/>
          <w:numId w:val="1010"/>
        </w:numPr>
      </w:pPr>
      <w:r>
        <w:t xml:space="preserve">Neo4j Windows installation: https://neo4j.com/docs/operations-manual/current/installation/windows/</w:t>
      </w:r>
    </w:p>
    <w:p>
      <w:pPr>
        <w:pStyle w:val="Compact"/>
        <w:numPr>
          <w:ilvl w:val="0"/>
          <w:numId w:val="1010"/>
        </w:numPr>
      </w:pPr>
      <w:r>
        <w:t xml:space="preserve">Graphiti: https://github.com/getzep/graphiti</w:t>
      </w:r>
    </w:p>
    <w:p>
      <w:pPr>
        <w:pStyle w:val="Compact"/>
        <w:numPr>
          <w:ilvl w:val="0"/>
          <w:numId w:val="1010"/>
        </w:numPr>
      </w:pPr>
      <w:r>
        <w:t xml:space="preserve">MCP Python SDK: https://github.com/modelcontextprotocol/python-sdk</w:t>
      </w:r>
    </w:p>
    <w:p>
      <w:pPr>
        <w:pStyle w:val="Compact"/>
        <w:numPr>
          <w:ilvl w:val="0"/>
          <w:numId w:val="1010"/>
        </w:numPr>
      </w:pPr>
      <w:r>
        <w:t xml:space="preserve">OpenWiki: https://github.com/langchain-ai/openwiki</w:t>
      </w:r>
    </w:p>
    <w:p>
      <w:pPr>
        <w:pStyle w:val="Compact"/>
        <w:numPr>
          <w:ilvl w:val="0"/>
          <w:numId w:val="1010"/>
        </w:numPr>
      </w:pPr>
      <w:r>
        <w:t xml:space="preserve">Zensical: https://zensical.org/docs/get-started/</w:t>
      </w:r>
    </w:p>
    <w:bookmarkEnd w:id="102"/>
    <w:sectPr w:rsidR="00FC693F" w:rsidRPr="0006063C" w:rsidSect="00034616">
      <w:headerReference r:id="rId9" w:type="default"/>
      <w:footerReference r:id="rId10" w:type="default"/>
      <w:pgSz w:h="12240" w:orient="landscape" w:w="15840"/>
      <w:pgMar w:bottom="792" w:footer="720" w:gutter="0" w:header="720" w:left="792" w:right="792" w:top="79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5"/>
      </w:rPr>
      <w:t xml:space="preserve">Internal Engineering Reference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75569"/>
        <w:sz w:val="15"/>
      </w:rPr>
      <w:t>BOS AIDE | Graph-Governed Spec-Driven Loop Engineering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Aptos" w:cs="Aptos" w:eastAsia="Aptos" w:hAnsi="Aptos"/>
      <w:b w:val="0"/>
      <w:color w:val="263548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after="80" w:before="180"/>
      <w:outlineLvl w:val="0"/>
    </w:pPr>
    <w:rPr>
      <w:rFonts w:ascii="Aptos Display" w:asciiTheme="majorHAnsi" w:cs="Aptos Display" w:cstheme="majorBidi" w:eastAsia="Aptos Display" w:eastAsiaTheme="majorEastAsia" w:hAnsi="Aptos Display" w:hAnsiTheme="majorHAnsi"/>
      <w:b/>
      <w:bCs/>
      <w:color w:val="183153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80"/>
      <w:outlineLvl w:val="1"/>
    </w:pPr>
    <w:rPr>
      <w:rFonts w:ascii="Aptos Display" w:asciiTheme="majorHAnsi" w:cs="Aptos Display" w:cstheme="majorBidi" w:eastAsia="Aptos Display" w:eastAsiaTheme="majorEastAsia" w:hAnsi="Aptos Display" w:hAnsiTheme="majorHAnsi"/>
      <w:b/>
      <w:bCs/>
      <w:color w:val="2563EB"/>
      <w:sz w:val="27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80"/>
      <w:outlineLvl w:val="2"/>
    </w:pPr>
    <w:rPr>
      <w:rFonts w:ascii="Aptos Display" w:asciiTheme="majorHAnsi" w:cs="Aptos Display" w:cstheme="majorBidi" w:eastAsia="Aptos Display" w:eastAsiaTheme="majorEastAsia" w:hAnsi="Aptos Display" w:hAnsiTheme="majorHAnsi"/>
      <w:b/>
      <w:bCs/>
      <w:color w:val="183153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80"/>
      <w:outlineLvl w:val="3"/>
    </w:pPr>
    <w:rPr>
      <w:rFonts w:ascii="Aptos Display" w:asciiTheme="majorHAnsi" w:cs="Aptos Display" w:cstheme="majorBidi" w:eastAsia="Aptos Display" w:eastAsiaTheme="majorEastAsia" w:hAnsi="Aptos Display" w:hAnsiTheme="majorHAnsi"/>
      <w:b/>
      <w:bCs/>
      <w:i/>
      <w:iCs/>
      <w:color w:val="475569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line="240" w:lineRule="auto"/>
      <w:contextualSpacing/>
    </w:pPr>
    <w:rPr>
      <w:rFonts w:ascii="Aptos Display" w:asciiTheme="majorHAnsi" w:cs="Aptos Display" w:cstheme="majorBidi" w:eastAsia="Aptos Display" w:eastAsiaTheme="majorEastAsia" w:hAnsi="Aptos Display" w:hAnsiTheme="majorHAnsi"/>
      <w:b/>
      <w:color w:val="183153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="Aptos" w:asciiTheme="majorHAnsi" w:cs="Aptos" w:cstheme="majorBidi" w:eastAsia="Aptos" w:eastAsiaTheme="majorEastAsia" w:hAnsi="Aptos" w:hAnsiTheme="majorHAnsi"/>
      <w:b w:val="0"/>
      <w:i/>
      <w:iCs/>
      <w:color w:val="475569"/>
      <w:spacing w:val="15"/>
      <w:sz w:val="3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cs="Aptos" w:eastAsia="Aptos" w:hAnsi="Aptos"/>
      <w:b w:val="0"/>
      <w:bCs/>
      <w:i/>
      <w:color w:val="475569"/>
      <w:sz w:val="16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8" Type="http://schemas.openxmlformats.org/officeDocument/2006/relationships/image" Target="media/rId28.png"/><Relationship Id="rId32" Type="http://schemas.openxmlformats.org/officeDocument/2006/relationships/image" Target="media/rId32.png"/><Relationship Id="rId37" Type="http://schemas.openxmlformats.org/officeDocument/2006/relationships/image" Target="media/rId37.png"/><Relationship Id="rId41" Type="http://schemas.openxmlformats.org/officeDocument/2006/relationships/image" Target="media/rId41.png"/><Relationship Id="rId45" Type="http://schemas.openxmlformats.org/officeDocument/2006/relationships/image" Target="media/rId45.png"/><Relationship Id="rId49" Type="http://schemas.openxmlformats.org/officeDocument/2006/relationships/image" Target="media/rId49.png"/><Relationship Id="rId53" Type="http://schemas.openxmlformats.org/officeDocument/2006/relationships/image" Target="media/rId53.png"/><Relationship Id="rId57" Type="http://schemas.openxmlformats.org/officeDocument/2006/relationships/image" Target="media/rId57.png"/><Relationship Id="rId62" Type="http://schemas.openxmlformats.org/officeDocument/2006/relationships/image" Target="media/rId62.png"/><Relationship Id="rId66" Type="http://schemas.openxmlformats.org/officeDocument/2006/relationships/image" Target="media/rId66.png"/><Relationship Id="rId70" Type="http://schemas.openxmlformats.org/officeDocument/2006/relationships/image" Target="media/rId70.png"/><Relationship Id="rId74" Type="http://schemas.openxmlformats.org/officeDocument/2006/relationships/image" Target="media/rId74.png"/><Relationship Id="rId78" Type="http://schemas.openxmlformats.org/officeDocument/2006/relationships/image" Target="media/rId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 AIDE Graph-Governed Spec-Driven Loop Engineering</dc:title>
  <dc:creator>BOS AIDE Engineering</dc:creator>
  <cp:keywords/>
  <dcterms:created xsi:type="dcterms:W3CDTF">2026-07-27T00:01:07Z</dcterms:created>
  <dcterms:modified xsi:type="dcterms:W3CDTF">2026-07-27T00:01:07Z</dcterms:modified>
  <dc:subject>Loop Engineering, Graph Engineering, Kiro and Knowledge Plane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 July 2026</vt:lpwstr>
  </property>
  <property fmtid="{D5CDD505-2E9C-101B-9397-08002B2CF9AE}" pid="3" name="subtitle">
    <vt:lpwstr>Architecture and Detailed Design</vt:lpwstr>
  </property>
</Properties>
</file>