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24"/>
          <w:szCs w:val="24"/>
        </w:rPr>
        <w:t xml:space="preserve">MERIDIAN TECH SOLUTIONS</w:t>
      </w:r>
    </w:p>
    <w:p>
      <w:pPr>
        <w:spacing w:after="40"/>
        <w:jc w:val="center"/>
      </w:pPr>
      <w:r>
        <w:rPr>
          <w:rFonts w:ascii="Arial" w:cs="Arial" w:eastAsia="Arial" w:hAnsi="Arial"/>
          <w:b/>
          <w:bCs/>
          <w:color w:val="1A1A1A"/>
          <w:sz w:val="38"/>
          <w:szCs w:val="38"/>
        </w:rPr>
        <w:t xml:space="preserve">GRC FRAMEWORK COMPARISON ANALYSIS</w:t>
      </w:r>
    </w:p>
    <w:p>
      <w:pPr>
        <w:spacing w:after="40"/>
        <w:jc w:val="center"/>
      </w:pPr>
      <w:r>
        <w:rPr>
          <w:rFonts w:ascii="Arial" w:cs="Arial" w:eastAsia="Arial" w:hAnsi="Arial"/>
          <w:b/>
          <w:bCs/>
          <w:color w:val="2E4F8C"/>
          <w:sz w:val="20"/>
          <w:szCs w:val="20"/>
        </w:rPr>
        <w:t xml:space="preserve">NIST Risk Management Framework  |  ISO 27001  |  SOC 2</w:t>
      </w:r>
    </w:p>
    <w:p>
      <w:pPr>
        <w:spacing w:after="60"/>
        <w:jc w:val="center"/>
      </w:pPr>
      <w:r>
        <w:rPr>
          <w:rFonts w:ascii="Arial" w:cs="Arial" w:eastAsia="Arial" w:hAnsi="Arial"/>
          <w:i/>
          <w:iCs/>
          <w:color w:val="666666"/>
          <w:sz w:val="17"/>
          <w:szCs w:val="17"/>
        </w:rPr>
        <w:t xml:space="preserve">Document ID: GRC-FC-001  |  Version 1.0  |  June 2026  |  Author: Avein Glasper, GRC Analyst</w:t>
      </w:r>
    </w:p>
    <w:p>
      <w:pPr>
        <w:pBdr>
          <w:bottom w:val="single" w:color="1F3864" w:sz="8"/>
        </w:pBdr>
        <w:spacing w:after="160"/>
      </w:pPr>
    </w:p>
    <w:p>
      <w:pPr>
        <w:pBdr>
          <w:bottom w:val="single" w:color="1F3864" w:sz="6"/>
        </w:pBdr>
        <w:spacing w:after="120" w:before="240"/>
      </w:pPr>
      <w:r>
        <w:rPr>
          <w:rFonts w:ascii="Arial" w:cs="Arial" w:eastAsia="Arial" w:hAnsi="Arial"/>
          <w:b/>
          <w:bCs/>
          <w:color w:val="1F3864"/>
          <w:sz w:val="22"/>
          <w:szCs w:val="22"/>
        </w:rPr>
        <w:t xml:space="preserve">EXECUTIVE SUMMARY</w:t>
      </w:r>
    </w:p>
    <w:p>
      <w:pPr>
        <w:spacing w:after="80"/>
      </w:pPr>
      <w:r>
        <w:rPr>
          <w:rFonts w:ascii="Arial" w:cs="Arial" w:eastAsia="Arial" w:hAnsi="Arial"/>
          <w:color w:val="3D3D3D"/>
          <w:sz w:val="19"/>
          <w:szCs w:val="19"/>
        </w:rPr>
        <w:t xml:space="preserve">This analysis compares three widely adopted cybersecurity governance, risk, and compliance (GRC) frameworks: the NIST Risk Management Framework (RMF), ISO/IEC 27001, and SOC 2. Each framework serves a distinct purpose and target audience, though significant overlap exists in their underlying principles of risk management, control implementation, and continuous monitoring.</w:t>
      </w:r>
    </w:p>
    <w:p>
      <w:pPr>
        <w:spacing w:after="80"/>
      </w:pPr>
      <w:r>
        <w:rPr>
          <w:rFonts w:ascii="Arial" w:cs="Arial" w:eastAsia="Arial" w:hAnsi="Arial"/>
          <w:color w:val="3D3D3D"/>
          <w:sz w:val="19"/>
          <w:szCs w:val="19"/>
        </w:rPr>
        <w:t xml:space="preserve">Organizations typically select a framework based on their regulatory environment, customer requirements, industry sector, and geographic scope. Federal agencies and DoD contractors are generally required to implement NIST RMF. Organizations seeking international credibility or operating in global markets commonly adopt ISO 27001. Service organizations handling customer data — particularly in cloud, SaaS, and technology sectors — frequently pursue SOC 2 attestation to demonstrate trust to their customers.</w:t>
      </w:r>
    </w:p>
    <w:p>
      <w:pPr>
        <w:spacing w:after="80"/>
      </w:pPr>
      <w:r>
        <w:rPr>
          <w:rFonts w:ascii="Arial" w:cs="Arial" w:eastAsia="Arial" w:hAnsi="Arial"/>
          <w:color w:val="3D3D3D"/>
          <w:sz w:val="19"/>
          <w:szCs w:val="19"/>
        </w:rPr>
        <w:t xml:space="preserve">Understanding the distinctions between these frameworks is a core competency for GRC professionals. This document provides a structured comparison to support framework selection decisions, gap analysis planning, and integrated compliance program design.</w:t>
      </w:r>
    </w:p>
    <w:p>
      <w:pPr>
        <w:spacing w:after="40"/>
      </w:pPr>
    </w:p>
    <w:p>
      <w:pPr>
        <w:pBdr>
          <w:bottom w:val="single" w:color="1F3864" w:sz="6"/>
        </w:pBdr>
        <w:spacing w:after="120" w:before="240"/>
      </w:pPr>
      <w:r>
        <w:rPr>
          <w:rFonts w:ascii="Arial" w:cs="Arial" w:eastAsia="Arial" w:hAnsi="Arial"/>
          <w:b/>
          <w:bCs/>
          <w:color w:val="1F3864"/>
          <w:sz w:val="22"/>
          <w:szCs w:val="22"/>
        </w:rPr>
        <w:t xml:space="preserve">FRAMEWORK OVERVIEWS</w:t>
      </w:r>
    </w:p>
    <w:p>
      <w:pPr>
        <w:spacing w:after="80" w:before="160"/>
      </w:pPr>
      <w:r>
        <w:rPr>
          <w:rFonts w:ascii="Arial" w:cs="Arial" w:eastAsia="Arial" w:hAnsi="Arial"/>
          <w:b/>
          <w:bCs/>
          <w:color w:val="2E4F8C"/>
          <w:sz w:val="20"/>
          <w:szCs w:val="20"/>
        </w:rPr>
        <w:t xml:space="preserve">NIST Risk Management Framework (RMF)</w:t>
      </w:r>
    </w:p>
    <w:p>
      <w:pPr>
        <w:spacing w:after="80"/>
      </w:pPr>
      <w:r>
        <w:rPr>
          <w:rFonts w:ascii="Arial" w:cs="Arial" w:eastAsia="Arial" w:hAnsi="Arial"/>
          <w:color w:val="3D3D3D"/>
          <w:sz w:val="19"/>
          <w:szCs w:val="19"/>
        </w:rPr>
        <w:t xml:space="preserve">The NIST Risk Management Framework, governed by NIST Special Publication 800-37 Revision 2, is a structured process for integrating security, privacy, and supply chain risk management activities into the system development life cycle. Originally developed for federal information systems, RMF has expanded in application to include defense contractors, critical infrastructure, and organizations seeking to align with federal cybersecurity standards.</w:t>
      </w:r>
    </w:p>
    <w:p>
      <w:pPr>
        <w:spacing w:after="80"/>
      </w:pPr>
      <w:r>
        <w:rPr>
          <w:rFonts w:ascii="Arial" w:cs="Arial" w:eastAsia="Arial" w:hAnsi="Arial"/>
          <w:color w:val="3D3D3D"/>
          <w:sz w:val="19"/>
          <w:szCs w:val="19"/>
        </w:rPr>
        <w:t xml:space="preserve">RMF is built around seven sequential steps: Prepare, Categorize, Select, Implement, Assess, Authorize, and Monitor. The framework is tightly integrated with NIST SP 800-53, which provides the catalog of security and privacy controls that organizations select from during the Select phase. The Authority to Operate (ATO) — the formal authorization for a system to operate — is the central compliance deliverable of the RMF process.</w:t>
      </w:r>
    </w:p>
    <w:p>
      <w:pPr>
        <w:spacing w:after="80"/>
      </w:pPr>
      <w:r>
        <w:rPr>
          <w:rFonts w:ascii="Arial" w:cs="Arial" w:eastAsia="Arial" w:hAnsi="Arial"/>
          <w:color w:val="3D3D3D"/>
          <w:sz w:val="19"/>
          <w:szCs w:val="19"/>
        </w:rPr>
        <w:t xml:space="preserve">NIST RMF is mandatory for all federal agencies under FISMA (Federal Information Security Modernization Act) and is required for DoD contractors under the CMMC (Cybersecurity Maturity Model Certification) program, which incorporates NIST SP 800-171 derived from SP 800-53.</w:t>
      </w:r>
    </w:p>
    <w:p>
      <w:pPr>
        <w:spacing w:after="60"/>
      </w:pPr>
    </w:p>
    <w:p>
      <w:pPr>
        <w:spacing w:after="80" w:before="160"/>
      </w:pPr>
      <w:r>
        <w:rPr>
          <w:rFonts w:ascii="Arial" w:cs="Arial" w:eastAsia="Arial" w:hAnsi="Arial"/>
          <w:b/>
          <w:bCs/>
          <w:color w:val="1E5631"/>
          <w:sz w:val="20"/>
          <w:szCs w:val="20"/>
        </w:rPr>
        <w:t xml:space="preserve">ISO/IEC 27001:2022</w:t>
      </w:r>
    </w:p>
    <w:p>
      <w:pPr>
        <w:spacing w:after="80"/>
      </w:pPr>
      <w:r>
        <w:rPr>
          <w:rFonts w:ascii="Arial" w:cs="Arial" w:eastAsia="Arial" w:hAnsi="Arial"/>
          <w:color w:val="3D3D3D"/>
          <w:sz w:val="19"/>
          <w:szCs w:val="19"/>
        </w:rPr>
        <w:t xml:space="preserve">ISO/IEC 27001 is the international standard for Information Security Management Systems (ISMS), published by the International Organization for Standardization (ISO) and the International Electrotechnical Commission (IEC). The current version, ISO 27001:2022, provides a systematic approach to managing sensitive company information through risk treatment, control implementation, and continuous improvement.</w:t>
      </w:r>
    </w:p>
    <w:p>
      <w:pPr>
        <w:spacing w:after="80"/>
      </w:pPr>
      <w:r>
        <w:rPr>
          <w:rFonts w:ascii="Arial" w:cs="Arial" w:eastAsia="Arial" w:hAnsi="Arial"/>
          <w:color w:val="3D3D3D"/>
          <w:sz w:val="19"/>
          <w:szCs w:val="19"/>
        </w:rPr>
        <w:t xml:space="preserve">Unlike NIST RMF, which is prescriptive and process-oriented, ISO 27001 is management system-based and principle-driven. Organizations implement an ISMS — a documented framework of policies, procedures, and controls — and seek certification through an accredited third-party auditor. Certification demonstrates that an organization has implemented a comprehensive, audited information security management system.</w:t>
      </w:r>
    </w:p>
    <w:p>
      <w:pPr>
        <w:spacing w:after="80"/>
      </w:pPr>
      <w:r>
        <w:rPr>
          <w:rFonts w:ascii="Arial" w:cs="Arial" w:eastAsia="Arial" w:hAnsi="Arial"/>
          <w:color w:val="3D3D3D"/>
          <w:sz w:val="19"/>
          <w:szCs w:val="19"/>
        </w:rPr>
        <w:t xml:space="preserve">ISO 27001 Annex A provides 93 controls across four themes: Organizational, People, Physical, and Technological. Organizations conduct a Statement of Applicability (SoA) to document which controls are applicable to their environment and the rationale for any exclusions. ISO 27001 is globally recognized and particularly valuable for organizations operating internationally or seeking to demonstrate security maturity to international customers and partners.</w:t>
      </w:r>
    </w:p>
    <w:p>
      <w:pPr>
        <w:spacing w:after="60"/>
      </w:pPr>
    </w:p>
    <w:p>
      <w:pPr>
        <w:spacing w:after="80" w:before="160"/>
      </w:pPr>
      <w:r>
        <w:rPr>
          <w:rFonts w:ascii="Arial" w:cs="Arial" w:eastAsia="Arial" w:hAnsi="Arial"/>
          <w:b/>
          <w:bCs/>
          <w:color w:val="4A235A"/>
          <w:sz w:val="20"/>
          <w:szCs w:val="20"/>
        </w:rPr>
        <w:t xml:space="preserve">SOC 2 (System and Organization Controls 2)</w:t>
      </w:r>
    </w:p>
    <w:p>
      <w:pPr>
        <w:spacing w:after="80"/>
      </w:pPr>
      <w:r>
        <w:rPr>
          <w:rFonts w:ascii="Arial" w:cs="Arial" w:eastAsia="Arial" w:hAnsi="Arial"/>
          <w:color w:val="3D3D3D"/>
          <w:sz w:val="19"/>
          <w:szCs w:val="19"/>
        </w:rPr>
        <w:t xml:space="preserve">SOC 2 is an auditing standard developed by the American Institute of Certified Public Accountants (AICPA), designed specifically for service organizations that store, process, or transmit customer data. Unlike ISO 27001 certification or NIST RMF authorization, SOC 2 produces an attestation report issued by an independent CPA firm following an audit of the organization's controls.</w:t>
      </w:r>
    </w:p>
    <w:p>
      <w:pPr>
        <w:spacing w:after="80"/>
      </w:pPr>
      <w:r>
        <w:rPr>
          <w:rFonts w:ascii="Arial" w:cs="Arial" w:eastAsia="Arial" w:hAnsi="Arial"/>
          <w:color w:val="3D3D3D"/>
          <w:sz w:val="19"/>
          <w:szCs w:val="19"/>
        </w:rPr>
        <w:t xml:space="preserve">SOC 2 is organized around five Trust Services Criteria (TSC): Security (required), Availability, Processing Integrity, Confidentiality, and Privacy. Most organizations pursue SOC 2 Type II reports, which cover the design and operating effectiveness of controls over a defined audit period — typically 6 to 12 months. SOC 2 Type I reports assess only the design of controls at a point in time.</w:t>
      </w:r>
    </w:p>
    <w:p>
      <w:pPr>
        <w:spacing w:after="80"/>
      </w:pPr>
      <w:r>
        <w:rPr>
          <w:rFonts w:ascii="Arial" w:cs="Arial" w:eastAsia="Arial" w:hAnsi="Arial"/>
          <w:color w:val="3D3D3D"/>
          <w:sz w:val="19"/>
          <w:szCs w:val="19"/>
        </w:rPr>
        <w:t xml:space="preserve">SOC 2 is particularly prevalent in the cloud computing, SaaS, and managed services industries, where enterprise customers frequently require a SOC 2 report as a condition of doing business. It is not a certification but rather an attestation — the auditor issues an opinion on whether controls meet the Trust Services Criteria.</w:t>
      </w:r>
    </w:p>
    <w:p>
      <w:pPr>
        <w:spacing w:after="40"/>
      </w:pPr>
    </w:p>
    <w:p>
      <w:pPr>
        <w:pBdr>
          <w:bottom w:val="single" w:color="1F3864" w:sz="6"/>
        </w:pBdr>
        <w:spacing w:after="120" w:before="240"/>
      </w:pPr>
      <w:r>
        <w:rPr>
          <w:rFonts w:ascii="Arial" w:cs="Arial" w:eastAsia="Arial" w:hAnsi="Arial"/>
          <w:b/>
          <w:bCs/>
          <w:color w:val="1F3864"/>
          <w:sz w:val="22"/>
          <w:szCs w:val="22"/>
        </w:rPr>
        <w:t xml:space="preserve">SIDE-BY-SIDE FRAMEWORK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660"/>
        <w:gridCol w:w="2660"/>
        <w:gridCol w:w="2660"/>
      </w:tblGrid>
      <w:tr>
        <w:trPr>
          <w:tblHeader/>
        </w:trPr>
        <w:tc>
          <w:tcPr>
            <w:tcW w:type="dxa" w:w="2100"/>
            <w:tcBorders>
              <w:top w:val="single" w:color="999999" w:sz="1"/>
              <w:left w:val="single" w:color="999999" w:sz="1"/>
              <w:bottom w:val="single" w:color="999999" w:sz="1"/>
              <w:right w:val="single" w:color="999999"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Comparison Category</w:t>
            </w:r>
          </w:p>
        </w:tc>
        <w:tc>
          <w:tcPr>
            <w:tcW w:type="dxa" w:w="2660"/>
            <w:tcBorders>
              <w:top w:val="single" w:color="999999" w:sz="1"/>
              <w:left w:val="single" w:color="999999" w:sz="1"/>
              <w:bottom w:val="single" w:color="999999" w:sz="1"/>
              <w:right w:val="single" w:color="999999" w:sz="1"/>
            </w:tcBorders>
            <w:shd w:fill="2E4F8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NIST RMF</w:t>
            </w:r>
          </w:p>
        </w:tc>
        <w:tc>
          <w:tcPr>
            <w:tcW w:type="dxa" w:w="2660"/>
            <w:tcBorders>
              <w:top w:val="single" w:color="999999" w:sz="1"/>
              <w:left w:val="single" w:color="999999" w:sz="1"/>
              <w:bottom w:val="single" w:color="999999" w:sz="1"/>
              <w:right w:val="single" w:color="999999" w:sz="1"/>
            </w:tcBorders>
            <w:shd w:fill="1E5631"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ISO 27001</w:t>
            </w:r>
          </w:p>
        </w:tc>
        <w:tc>
          <w:tcPr>
            <w:tcW w:type="dxa" w:w="2660"/>
            <w:tcBorders>
              <w:top w:val="single" w:color="999999" w:sz="1"/>
              <w:left w:val="single" w:color="999999" w:sz="1"/>
              <w:bottom w:val="single" w:color="999999" w:sz="1"/>
              <w:right w:val="single" w:color="999999" w:sz="1"/>
            </w:tcBorders>
            <w:shd w:fill="4A235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SOC 2</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Governing Body</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NIST (National Institute of Standards &amp; Technology) — U.S. Federal</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ISO / IEC — International Standards Bodies</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AICPA — American Institute of Certified Public Accountants</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Geographic Scope</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Primarily United States — federal and DoD</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Global — recognized internationally across all industries</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Primarily United States — strong in North America</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Primary Audience</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Federal agencies, DoD contractors, critical infrastructure</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Any organization globally seeking ISMS certification</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Service organizations handling customer data (cloud, SaaS, MSP)</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Compliance Type</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Mandatory for federal agencies (FISMA); required for DoD contractors (CMMC)</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Voluntary — market-driven; may be required by customers or contracts</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Voluntary — market-driven; frequently required by enterprise customers</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Approach / Methodology</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Process-driven — 7 sequential steps with defined inputs/outputs</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Management system-based — Plan-Do-Check-Act (PDCA) continuous improvement cycle</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Criteria-based — controls assessed against Trust Services Criteria</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Key Deliverable</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Authority to Operate (ATO) for each system in scope</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ISO 27001 Certificate issued by accredited certification body</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SOC 2 Type I or Type II Attestation Report from CPA firm</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Control Catalog</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NIST SP 800-53 Rev 5 — 20 control families, 1000+ controls</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ISO 27001 Annex A — 93 controls across 4 themes (Organizational, People, Physical, Technical)</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Trust Services Criteria — Security, Availability, Processing Integrity, Confidentiality, Privacy</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Risk Assessment Method</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NIST SP 800-30 — formal risk assessment with likelihood, impact, and risk scoring</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ISO 31000-aligned — risk identification, analysis, evaluation, and treatment</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Implicitly embedded in control design — no standardized risk methodology required</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Third-Party Audit</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Government assessors (A&amp;A) or 3PAO — ongoing continuous monitoring required</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Accredited certification body — initial certification + annual surveillance audits</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Independent CPA firm — Type II covers 6-12 month audit period</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Certification / Authorization</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ATO per system — ongoing; re-authorization required every 3 years or on significant change</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ISO 27001 Certificate — valid 3 years with annual surveillance audits</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SOC 2 Report — no certification; Type II report typically renewed annually</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Continuous Monitoring</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Required — NIST SP 800-137; ongoing assessment of security controls</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Required — internal audits, management review, corrective actions</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Not formally required — controls must be effective during audit period</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Maturity / Complexity</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High complexity — significant documentation, system boundary definition, and control implementation required</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Moderate-high — requires ISMS documentation, risk treatment plan, and Statement of Applicability</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Moderate — control framework defined by auditor against TSC; scoping can be flexible</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Cost / Resource Investment</w:t>
            </w:r>
          </w:p>
        </w:tc>
        <w:tc>
          <w:tcPr>
            <w:tcW w:type="dxa" w:w="26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High — significant internal resources, potential 3PAO engagement, ongoing monitoring overhead</w:t>
            </w:r>
          </w:p>
        </w:tc>
        <w:tc>
          <w:tcPr>
            <w:tcW w:type="dxa" w:w="26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Moderate-high — certification body fees, ISMS implementation, annual audits</w:t>
            </w:r>
          </w:p>
        </w:tc>
        <w:tc>
          <w:tcPr>
            <w:tcW w:type="dxa" w:w="26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Moderate — CPA audit fees; internal control documentation and readiness effort</w:t>
            </w:r>
          </w:p>
        </w:tc>
      </w:tr>
      <w:tr>
        <w:tc>
          <w:tcPr>
            <w:tcW w:type="dxa" w:w="2100"/>
            <w:tcBorders>
              <w:top w:val="single" w:color="CCCCCC" w:sz="1"/>
              <w:left w:val="single" w:color="CCCCCC" w:sz="1"/>
              <w:bottom w:val="single" w:color="CCCCCC" w:sz="1"/>
              <w:right w:val="single" w:color="CCCCCC" w:sz="1"/>
            </w:tcBorders>
            <w:shd w:fill="E8ECF2" w:val="clear"/>
            <w:tcMar>
              <w:top w:type="dxa" w:w="80"/>
              <w:left w:type="dxa" w:w="140"/>
              <w:bottom w:type="dxa" w:w="80"/>
              <w:right w:type="dxa" w:w="140"/>
            </w:tcMar>
          </w:tcPr>
          <w:p>
            <w:pPr>
              <w:jc w:val="left"/>
            </w:pPr>
            <w:r>
              <w:rPr>
                <w:rFonts w:ascii="Arial" w:cs="Arial" w:eastAsia="Arial" w:hAnsi="Arial"/>
                <w:b/>
                <w:bCs/>
                <w:color w:val="3D3D3D"/>
                <w:sz w:val="18"/>
                <w:szCs w:val="18"/>
              </w:rPr>
              <w:t xml:space="preserve">Best Fit For</w:t>
            </w:r>
          </w:p>
        </w:tc>
        <w:tc>
          <w:tcPr>
            <w:tcW w:type="dxa" w:w="26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Federal agencies, DoD contractors, critical infrastructure operators</w:t>
            </w:r>
          </w:p>
        </w:tc>
        <w:tc>
          <w:tcPr>
            <w:tcW w:type="dxa" w:w="26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Global enterprises, organizations with international operations or customers, ISO-required supply chains</w:t>
            </w:r>
          </w:p>
        </w:tc>
        <w:tc>
          <w:tcPr>
            <w:tcW w:type="dxa" w:w="26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Cloud providers, SaaS companies, MSPs, fintech, healthcare tech with B2B customer requirements</w:t>
            </w:r>
          </w:p>
        </w:tc>
      </w:tr>
    </w:tbl>
    <w:p>
      <w:pPr>
        <w:spacing w:after="160"/>
      </w:pPr>
    </w:p>
    <w:p>
      <w:pPr>
        <w:pBdr>
          <w:bottom w:val="single" w:color="1F3864" w:sz="6"/>
        </w:pBdr>
        <w:spacing w:after="120" w:before="240"/>
      </w:pPr>
      <w:r>
        <w:rPr>
          <w:rFonts w:ascii="Arial" w:cs="Arial" w:eastAsia="Arial" w:hAnsi="Arial"/>
          <w:b/>
          <w:bCs/>
          <w:color w:val="1F3864"/>
          <w:sz w:val="22"/>
          <w:szCs w:val="22"/>
        </w:rPr>
        <w:t xml:space="preserve">DETAILED ANALYSIS</w:t>
      </w:r>
    </w:p>
    <w:p>
      <w:pPr>
        <w:spacing w:after="80" w:before="160"/>
      </w:pPr>
      <w:r>
        <w:rPr>
          <w:rFonts w:ascii="Arial" w:cs="Arial" w:eastAsia="Arial" w:hAnsi="Arial"/>
          <w:b/>
          <w:bCs/>
          <w:color w:val="1F3864"/>
          <w:sz w:val="20"/>
          <w:szCs w:val="20"/>
        </w:rPr>
        <w:t xml:space="preserve">Risk Management Approach</w:t>
      </w:r>
    </w:p>
    <w:p>
      <w:pPr>
        <w:spacing w:after="80"/>
      </w:pPr>
      <w:r>
        <w:rPr>
          <w:rFonts w:ascii="Arial" w:cs="Arial" w:eastAsia="Arial" w:hAnsi="Arial"/>
          <w:color w:val="3D3D3D"/>
          <w:sz w:val="19"/>
          <w:szCs w:val="19"/>
        </w:rPr>
        <w:t xml:space="preserve">All three frameworks are fundamentally rooted in risk management, but they approach it differently. NIST RMF is the most prescriptive — organizations must follow NIST SP 800-30 to conduct formal risk assessments, categorize systems using FIPS 199, and document risk decisions in a Risk Assessment Report. The process is auditable and leaves a documented paper trail at every step.</w:t>
      </w:r>
    </w:p>
    <w:p>
      <w:pPr>
        <w:spacing w:after="80"/>
      </w:pPr>
      <w:r>
        <w:rPr>
          <w:rFonts w:ascii="Arial" w:cs="Arial" w:eastAsia="Arial" w:hAnsi="Arial"/>
          <w:color w:val="3D3D3D"/>
          <w:sz w:val="19"/>
          <w:szCs w:val="19"/>
        </w:rPr>
        <w:t xml:space="preserve">ISO 27001 adopts a more principles-based approach to risk management, aligned with ISO 31000. Organizations define their own risk assessment methodology and risk acceptance criteria, provided they produce a documented risk treatment plan and Statement of Applicability. This flexibility allows organizations to tailor the approach to their environment but also requires mature judgment to implement effectively.</w:t>
      </w:r>
    </w:p>
    <w:p>
      <w:pPr>
        <w:spacing w:after="80"/>
      </w:pPr>
      <w:r>
        <w:rPr>
          <w:rFonts w:ascii="Arial" w:cs="Arial" w:eastAsia="Arial" w:hAnsi="Arial"/>
          <w:color w:val="3D3D3D"/>
          <w:sz w:val="19"/>
          <w:szCs w:val="19"/>
        </w:rPr>
        <w:t xml:space="preserve">SOC 2 embeds risk implicitly — the AICPA Trust Services Criteria assume that organizations have identified relevant risks and implemented controls to address them, but there is no prescribed risk assessment methodology. The auditor evaluates whether controls are designed and operating effectively to meet the criteria, rather than evaluating the risk management process itself.</w:t>
      </w:r>
    </w:p>
    <w:p>
      <w:pPr>
        <w:spacing w:after="60"/>
      </w:pPr>
    </w:p>
    <w:p>
      <w:pPr>
        <w:spacing w:after="80" w:before="160"/>
      </w:pPr>
      <w:r>
        <w:rPr>
          <w:rFonts w:ascii="Arial" w:cs="Arial" w:eastAsia="Arial" w:hAnsi="Arial"/>
          <w:b/>
          <w:bCs/>
          <w:color w:val="1F3864"/>
          <w:sz w:val="20"/>
          <w:szCs w:val="20"/>
        </w:rPr>
        <w:t xml:space="preserve">Control Frameworks</w:t>
      </w:r>
    </w:p>
    <w:p>
      <w:pPr>
        <w:spacing w:after="80"/>
      </w:pPr>
      <w:r>
        <w:rPr>
          <w:rFonts w:ascii="Arial" w:cs="Arial" w:eastAsia="Arial" w:hAnsi="Arial"/>
          <w:color w:val="3D3D3D"/>
          <w:sz w:val="19"/>
          <w:szCs w:val="19"/>
        </w:rPr>
        <w:t xml:space="preserve">NIST SP 800-53 Revision 5 is the most comprehensive control catalog of the three, containing over 1,000 controls and control enhancements across 20 families — from Access Control (AC) and Audit and Accountability (AU) to Supply Chain Risk Management (SR) and Privacy (PT). Federal systems select a baseline (Low, Moderate, or High) based on system categorization, then tailor controls to their environment.</w:t>
      </w:r>
    </w:p>
    <w:p>
      <w:pPr>
        <w:spacing w:after="80"/>
      </w:pPr>
      <w:r>
        <w:rPr>
          <w:rFonts w:ascii="Arial" w:cs="Arial" w:eastAsia="Arial" w:hAnsi="Arial"/>
          <w:color w:val="3D3D3D"/>
          <w:sz w:val="19"/>
          <w:szCs w:val="19"/>
        </w:rPr>
        <w:t xml:space="preserve">ISO 27001 Annex A contains 93 controls reorganized in the 2022 revision into four themes: Organizational (37 controls), People (8 controls), Physical (14 controls), and Technological (34 controls). Organizations document their control selection in a Statement of Applicability, explicitly noting which controls are applicable, which are excluded, and the justification for each decision.</w:t>
      </w:r>
    </w:p>
    <w:p>
      <w:pPr>
        <w:spacing w:after="80"/>
      </w:pPr>
      <w:r>
        <w:rPr>
          <w:rFonts w:ascii="Arial" w:cs="Arial" w:eastAsia="Arial" w:hAnsi="Arial"/>
          <w:color w:val="3D3D3D"/>
          <w:sz w:val="19"/>
          <w:szCs w:val="19"/>
        </w:rPr>
        <w:t xml:space="preserve">SOC 2 does not specify controls. Instead, the AICPA defines criteria — the Trust Services Criteria — and organizations design controls to meet those criteria. This makes SOC 2 more flexible but also more dependent on the skill of the auditor and the organization in translating criteria into effective controls.</w:t>
      </w:r>
    </w:p>
    <w:p>
      <w:pPr>
        <w:spacing w:after="60"/>
      </w:pPr>
    </w:p>
    <w:p>
      <w:pPr>
        <w:spacing w:after="80" w:before="160"/>
      </w:pPr>
      <w:r>
        <w:rPr>
          <w:rFonts w:ascii="Arial" w:cs="Arial" w:eastAsia="Arial" w:hAnsi="Arial"/>
          <w:b/>
          <w:bCs/>
          <w:color w:val="1F3864"/>
          <w:sz w:val="20"/>
          <w:szCs w:val="20"/>
        </w:rPr>
        <w:t xml:space="preserve">Integration and Overlap</w:t>
      </w:r>
    </w:p>
    <w:p>
      <w:pPr>
        <w:spacing w:after="80"/>
      </w:pPr>
      <w:r>
        <w:rPr>
          <w:rFonts w:ascii="Arial" w:cs="Arial" w:eastAsia="Arial" w:hAnsi="Arial"/>
          <w:color w:val="3D3D3D"/>
          <w:sz w:val="19"/>
          <w:szCs w:val="19"/>
        </w:rPr>
        <w:t xml:space="preserve">The three frameworks share significant conceptual overlap and are increasingly designed to support integrated compliance programs. NIST has published crosswalks mapping SP 800-53 controls to ISO 27001 Annex A controls, enabling organizations to satisfy requirements of both frameworks simultaneously. SOC 2 Trust Services Criteria also map substantially to both NIST and ISO controls.</w:t>
      </w:r>
    </w:p>
    <w:p>
      <w:pPr>
        <w:spacing w:after="80"/>
      </w:pPr>
      <w:r>
        <w:rPr>
          <w:rFonts w:ascii="Arial" w:cs="Arial" w:eastAsia="Arial" w:hAnsi="Arial"/>
          <w:color w:val="3D3D3D"/>
          <w:sz w:val="19"/>
          <w:szCs w:val="19"/>
        </w:rPr>
        <w:t xml:space="preserve">For organizations pursuing multiple frameworks, a unified control framework approach — sometimes called a common controls framework — allows a single set of controls to satisfy requirements across NIST RMF, ISO 27001, and SOC 2 simultaneously. This reduces audit fatigue and consolidates compliance documentation.</w:t>
      </w:r>
    </w:p>
    <w:p>
      <w:pPr>
        <w:spacing w:after="40"/>
      </w:pPr>
    </w:p>
    <w:p>
      <w:pPr>
        <w:pBdr>
          <w:bottom w:val="single" w:color="1F3864" w:sz="6"/>
        </w:pBdr>
        <w:spacing w:after="120" w:before="240"/>
      </w:pPr>
      <w:r>
        <w:rPr>
          <w:rFonts w:ascii="Arial" w:cs="Arial" w:eastAsia="Arial" w:hAnsi="Arial"/>
          <w:b/>
          <w:bCs/>
          <w:color w:val="1F3864"/>
          <w:sz w:val="22"/>
          <w:szCs w:val="22"/>
        </w:rPr>
        <w:t xml:space="preserve">FRAMEWORK SELECTION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999999" w:sz="1"/>
              <w:left w:val="single" w:color="999999" w:sz="1"/>
              <w:bottom w:val="single" w:color="999999" w:sz="1"/>
              <w:right w:val="single" w:color="999999" w:sz="1"/>
            </w:tcBorders>
            <w:shd w:fill="2E4F8C"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Choose NIST RMF if...</w:t>
            </w:r>
          </w:p>
        </w:tc>
        <w:tc>
          <w:tcPr>
            <w:tcW w:type="dxa" w:w="3360"/>
            <w:tcBorders>
              <w:top w:val="single" w:color="999999" w:sz="1"/>
              <w:left w:val="single" w:color="999999" w:sz="1"/>
              <w:bottom w:val="single" w:color="999999" w:sz="1"/>
              <w:right w:val="single" w:color="999999" w:sz="1"/>
            </w:tcBorders>
            <w:shd w:fill="1E5631"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Choose ISO 27001 if...</w:t>
            </w:r>
          </w:p>
        </w:tc>
        <w:tc>
          <w:tcPr>
            <w:tcW w:type="dxa" w:w="3360"/>
            <w:tcBorders>
              <w:top w:val="single" w:color="999999" w:sz="1"/>
              <w:left w:val="single" w:color="999999" w:sz="1"/>
              <w:bottom w:val="single" w:color="999999" w:sz="1"/>
              <w:right w:val="single" w:color="999999" w:sz="1"/>
            </w:tcBorders>
            <w:shd w:fill="4A235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Choose SOC 2 if...</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are a federal agency or DoD contractor</w:t>
            </w:r>
          </w:p>
        </w:tc>
        <w:tc>
          <w:tcPr>
            <w:tcW w:type="dxa" w:w="33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operate internationally or have global customers</w:t>
            </w:r>
          </w:p>
        </w:tc>
        <w:tc>
          <w:tcPr>
            <w:tcW w:type="dxa" w:w="33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are a cloud or SaaS provider with enterprise B2B customers</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Your systems process federal or classified information</w:t>
            </w:r>
          </w:p>
        </w:tc>
        <w:tc>
          <w:tcPr>
            <w:tcW w:type="dxa" w:w="33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Your customers or supply chain require ISO certification</w:t>
            </w:r>
          </w:p>
        </w:tc>
        <w:tc>
          <w:tcPr>
            <w:tcW w:type="dxa" w:w="33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Your customers require attestation of security controls over time</w:t>
            </w:r>
          </w:p>
        </w:tc>
      </w:tr>
      <w:tr>
        <w:tc>
          <w:tcPr>
            <w:tcW w:type="dxa" w:w="336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need to meet FISMA or CMMC compliance requirements</w:t>
            </w:r>
          </w:p>
        </w:tc>
        <w:tc>
          <w:tcPr>
            <w:tcW w:type="dxa" w:w="33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want a globally recognized, auditable certification</w:t>
            </w:r>
          </w:p>
        </w:tc>
        <w:tc>
          <w:tcPr>
            <w:tcW w:type="dxa" w:w="3360"/>
            <w:tcBorders>
              <w:top w:val="single" w:color="CCCCCC" w:sz="1"/>
              <w:left w:val="single" w:color="CCCCCC" w:sz="1"/>
              <w:bottom w:val="single" w:color="CCCCCC" w:sz="1"/>
              <w:right w:val="single" w:color="CCCCCC" w:sz="1"/>
            </w:tcBorders>
            <w:shd w:fill="EAE3F5"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want to demonstrate trust without pursuing full certification</w:t>
            </w:r>
          </w:p>
        </w:tc>
      </w:tr>
      <w:tr>
        <w:tc>
          <w:tcPr>
            <w:tcW w:type="dxa" w:w="3360"/>
            <w:tcBorders>
              <w:top w:val="single" w:color="CCCCCC" w:sz="1"/>
              <w:left w:val="single" w:color="CCCCCC" w:sz="1"/>
              <w:bottom w:val="single" w:color="CCCCCC" w:sz="1"/>
              <w:right w:val="single" w:color="CCCCCC" w:sz="1"/>
            </w:tcBorders>
            <w:shd w:fill="EBF3FA"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require formal ATO documentation for system operation</w:t>
            </w:r>
          </w:p>
        </w:tc>
        <w:tc>
          <w:tcPr>
            <w:tcW w:type="dxa" w:w="3360"/>
            <w:tcBorders>
              <w:top w:val="single" w:color="CCCCCC" w:sz="1"/>
              <w:left w:val="single" w:color="CCCCCC" w:sz="1"/>
              <w:bottom w:val="single" w:color="CCCCCC" w:sz="1"/>
              <w:right w:val="single" w:color="CCCCCC" w:sz="1"/>
            </w:tcBorders>
            <w:shd w:fill="EBF5EC"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want to demonstrate a mature, systematic ISMS</w:t>
            </w:r>
          </w:p>
        </w:tc>
        <w:tc>
          <w:tcPr>
            <w:tcW w:type="dxa" w:w="3360"/>
            <w:tcBorders>
              <w:top w:val="single" w:color="CCCCCC" w:sz="1"/>
              <w:left w:val="single" w:color="CCCCCC" w:sz="1"/>
              <w:bottom w:val="single" w:color="CCCCCC" w:sz="1"/>
              <w:right w:val="single" w:color="CCCCCC" w:sz="1"/>
            </w:tcBorders>
            <w:shd w:fill="F2EDF9" w:val="clear"/>
            <w:tcMar>
              <w:top w:type="dxa" w:w="80"/>
              <w:left w:type="dxa" w:w="140"/>
              <w:bottom w:type="dxa" w:w="80"/>
              <w:right w:type="dxa" w:w="140"/>
            </w:tcMar>
          </w:tcPr>
          <w:p>
            <w:pPr>
              <w:jc w:val="left"/>
            </w:pPr>
            <w:r>
              <w:rPr>
                <w:rFonts w:ascii="Arial" w:cs="Arial" w:eastAsia="Arial" w:hAnsi="Arial"/>
                <w:b w:val="false"/>
                <w:bCs w:val="false"/>
                <w:color w:val="3D3D3D"/>
                <w:sz w:val="18"/>
                <w:szCs w:val="18"/>
              </w:rPr>
              <w:t xml:space="preserve">You operate in fintech, healthcare tech, or managed services</w:t>
            </w:r>
          </w:p>
        </w:tc>
      </w:tr>
    </w:tbl>
    <w:p>
      <w:pPr>
        <w:spacing w:after="160"/>
      </w:pPr>
    </w:p>
    <w:p>
      <w:pPr>
        <w:pBdr>
          <w:bottom w:val="single" w:color="1F3864" w:sz="6"/>
        </w:pBdr>
        <w:spacing w:after="120" w:before="240"/>
      </w:pPr>
      <w:r>
        <w:rPr>
          <w:rFonts w:ascii="Arial" w:cs="Arial" w:eastAsia="Arial" w:hAnsi="Arial"/>
          <w:b/>
          <w:bCs/>
          <w:color w:val="1F3864"/>
          <w:sz w:val="22"/>
          <w:szCs w:val="22"/>
        </w:rPr>
        <w:t xml:space="preserve">APPLICABILITY TO MERIDIAN TECH SOLUTIONS</w:t>
      </w:r>
    </w:p>
    <w:p>
      <w:pPr>
        <w:spacing w:after="80"/>
      </w:pPr>
      <w:r>
        <w:rPr>
          <w:rFonts w:ascii="Arial" w:cs="Arial" w:eastAsia="Arial" w:hAnsi="Arial"/>
          <w:color w:val="3D3D3D"/>
          <w:sz w:val="19"/>
          <w:szCs w:val="19"/>
        </w:rPr>
        <w:t xml:space="preserve">Based on the organizational profile of Meridian Tech Solutions — a mid-size technology organization providing services to commercial and potentially government customers — the following framework recommendations apply:</w:t>
      </w:r>
    </w:p>
    <w:p>
      <w:pPr>
        <w:spacing w:after="80" w:before="160"/>
      </w:pPr>
      <w:r>
        <w:rPr>
          <w:rFonts w:ascii="Arial" w:cs="Arial" w:eastAsia="Arial" w:hAnsi="Arial"/>
          <w:b/>
          <w:bCs/>
          <w:color w:val="1F3864"/>
          <w:sz w:val="20"/>
          <w:szCs w:val="20"/>
        </w:rPr>
        <w:t xml:space="preserve">Primary Recommendation: NIST CSF 2.0 + SOC 2 Type II</w:t>
      </w:r>
    </w:p>
    <w:p>
      <w:pPr>
        <w:spacing w:after="80"/>
      </w:pPr>
      <w:r>
        <w:rPr>
          <w:rFonts w:ascii="Arial" w:cs="Arial" w:eastAsia="Arial" w:hAnsi="Arial"/>
          <w:color w:val="3D3D3D"/>
          <w:sz w:val="19"/>
          <w:szCs w:val="19"/>
        </w:rPr>
        <w:t xml:space="preserve">For a commercial technology organization, the NIST Cybersecurity Framework (CSF) 2.0 provides an accessible, risk-based foundation that is broadly recognized across sectors without the full compliance burden of NIST RMF. Pairing CSF 2.0 with a SOC 2 Type II audit addresses commercial customer requirements and demonstrates operational security maturity.</w:t>
      </w:r>
    </w:p>
    <w:p>
      <w:pPr>
        <w:spacing w:after="80" w:before="160"/>
      </w:pPr>
      <w:r>
        <w:rPr>
          <w:rFonts w:ascii="Arial" w:cs="Arial" w:eastAsia="Arial" w:hAnsi="Arial"/>
          <w:b/>
          <w:bCs/>
          <w:color w:val="1F3864"/>
          <w:sz w:val="20"/>
          <w:szCs w:val="20"/>
        </w:rPr>
        <w:t xml:space="preserve">Secondary Recommendation: NIST RMF (if pursuing federal contracts)</w:t>
      </w:r>
    </w:p>
    <w:p>
      <w:pPr>
        <w:spacing w:after="80"/>
      </w:pPr>
      <w:r>
        <w:rPr>
          <w:rFonts w:ascii="Arial" w:cs="Arial" w:eastAsia="Arial" w:hAnsi="Arial"/>
          <w:color w:val="3D3D3D"/>
          <w:sz w:val="19"/>
          <w:szCs w:val="19"/>
        </w:rPr>
        <w:t xml:space="preserve">If Meridian Tech Solutions pursues federal government contracts or DoD work, NIST RMF compliance — including alignment to NIST SP 800-171 / CMMC — becomes a requirement rather than a choice. The risk register and security policies developed in this portfolio are already aligned to NIST SP 800-30 and SP 800-53 control families, providing a strong foundation for RMF implementation.</w:t>
      </w:r>
    </w:p>
    <w:p>
      <w:pPr>
        <w:spacing w:after="80" w:before="160"/>
      </w:pPr>
      <w:r>
        <w:rPr>
          <w:rFonts w:ascii="Arial" w:cs="Arial" w:eastAsia="Arial" w:hAnsi="Arial"/>
          <w:b/>
          <w:bCs/>
          <w:color w:val="1F3864"/>
          <w:sz w:val="20"/>
          <w:szCs w:val="20"/>
        </w:rPr>
        <w:t xml:space="preserve">ISO 27001 Consideration</w:t>
      </w:r>
    </w:p>
    <w:p>
      <w:pPr>
        <w:spacing w:after="80"/>
      </w:pPr>
      <w:r>
        <w:rPr>
          <w:rFonts w:ascii="Arial" w:cs="Arial" w:eastAsia="Arial" w:hAnsi="Arial"/>
          <w:color w:val="3D3D3D"/>
          <w:sz w:val="19"/>
          <w:szCs w:val="19"/>
        </w:rPr>
        <w:t xml:space="preserve">ISO 27001 certification would be advisable if Meridian Tech Solutions expands into international markets or enters supply chains that contractually require it. Given the overlap between ISO 27001 Annex A and NIST SP 800-53, organizations that have implemented RMF can leverage existing documentation to pursue ISO 27001 with reduced incremental effort.</w:t>
      </w:r>
    </w:p>
    <w:p>
      <w:pPr>
        <w:spacing w:after="40"/>
      </w:pPr>
    </w:p>
    <w:p>
      <w:pPr>
        <w:pBdr>
          <w:bottom w:val="single" w:color="1F3864" w:sz="6"/>
        </w:pBdr>
        <w:spacing w:after="120" w:before="240"/>
      </w:pPr>
      <w:r>
        <w:rPr>
          <w:rFonts w:ascii="Arial" w:cs="Arial" w:eastAsia="Arial" w:hAnsi="Arial"/>
          <w:b/>
          <w:bCs/>
          <w:color w:val="1F3864"/>
          <w:sz w:val="22"/>
          <w:szCs w:val="22"/>
        </w:rPr>
        <w:t xml:space="preserve">CONCLUSION</w:t>
      </w:r>
    </w:p>
    <w:p>
      <w:pPr>
        <w:spacing w:after="80"/>
      </w:pPr>
      <w:r>
        <w:rPr>
          <w:rFonts w:ascii="Arial" w:cs="Arial" w:eastAsia="Arial" w:hAnsi="Arial"/>
          <w:color w:val="3D3D3D"/>
          <w:sz w:val="19"/>
          <w:szCs w:val="19"/>
        </w:rPr>
        <w:t xml:space="preserve">NIST RMF, ISO 27001, and SOC 2 each serve distinct but complementary roles in the cybersecurity compliance landscape. NIST RMF is the authoritative framework for federal and defense environments, providing a rigorous, documented pathway to system authorization. ISO 27001 offers internationally recognized ISMS certification with a management system approach applicable across all industries and geographies. SOC 2 addresses the specific trust and transparency needs of service organizations in commercial markets.</w:t>
      </w:r>
    </w:p>
    <w:p>
      <w:pPr>
        <w:spacing w:after="80"/>
      </w:pPr>
      <w:r>
        <w:rPr>
          <w:rFonts w:ascii="Arial" w:cs="Arial" w:eastAsia="Arial" w:hAnsi="Arial"/>
          <w:color w:val="3D3D3D"/>
          <w:sz w:val="19"/>
          <w:szCs w:val="19"/>
        </w:rPr>
        <w:t xml:space="preserve">GRC professionals must understand not only the technical requirements of each framework but also the business context that drives framework selection — regulatory requirements, customer expectations, market position, and organizational risk appetite. Increasingly, organizations implement integrated compliance programs that satisfy multiple frameworks simultaneously through a common controls approach, reducing duplication and audit burden while maintaining comprehensive coverage.</w:t>
      </w:r>
    </w:p>
    <w:p>
      <w:pPr>
        <w:spacing w:after="80"/>
      </w:pPr>
      <w:r>
        <w:rPr>
          <w:rFonts w:ascii="Arial" w:cs="Arial" w:eastAsia="Arial" w:hAnsi="Arial"/>
          <w:color w:val="3D3D3D"/>
          <w:sz w:val="19"/>
          <w:szCs w:val="19"/>
        </w:rPr>
        <w:t xml:space="preserve">This analysis was developed as a GRC portfolio artifact applying NIST SP 800-30 risk principles and NIST CSF 2.0 Govern function concepts to the practical challenge of framework selection and compliance program design.</w:t>
      </w:r>
    </w:p>
    <w:p>
      <w:pPr>
        <w:spacing w:after="80"/>
      </w:pPr>
    </w:p>
    <w:p>
      <w:pPr>
        <w:pBdr>
          <w:top w:val="single" w:color="1F3864" w:sz="4"/>
        </w:pBdr>
        <w:spacing w:after="40" w:before="80"/>
      </w:pPr>
    </w:p>
    <w:p>
      <w:pPr>
        <w:jc w:val="center"/>
      </w:pPr>
      <w:r>
        <w:rPr>
          <w:rFonts w:ascii="Arial" w:cs="Arial" w:eastAsia="Arial" w:hAnsi="Arial"/>
          <w:i/>
          <w:iCs/>
          <w:color w:val="666666"/>
          <w:sz w:val="16"/>
          <w:szCs w:val="16"/>
        </w:rPr>
        <w:t xml:space="preserve">GRC Framework Comparison Analysis  |  Meridian Tech Solutions  |  Avein Glasper  |  June 2026  |  Document GRC-FC-001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2026-06-28T02:14:32.506Z</dcterms:created>
  <dcterms:modified xsi:type="dcterms:W3CDTF">2026-06-28T02:14:32.525Z</dcterms:modified>
</cp:coreProperties>
</file>

<file path=docProps/custom.xml><?xml version="1.0" encoding="utf-8"?>
<Properties xmlns="http://schemas.openxmlformats.org/officeDocument/2006/custom-properties" xmlns:vt="http://schemas.openxmlformats.org/officeDocument/2006/docPropsVTypes"/>
</file>