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3B04C" w14:textId="6C15A5CD" w:rsidR="00A1112D" w:rsidRPr="00486397" w:rsidRDefault="00F24099" w:rsidP="00270D3F">
      <w:pPr>
        <w:spacing w:after="0"/>
        <w:ind w:left="-284" w:right="-1"/>
        <w:jc w:val="both"/>
        <w:rPr>
          <w:rFonts w:ascii="Book Antiqua" w:hAnsi="Book Antiqua"/>
          <w:b/>
          <w:bCs/>
        </w:rPr>
      </w:pPr>
      <w:r>
        <w:rPr>
          <w:rFonts w:ascii="Book Antiqua" w:hAnsi="Book Antiqua"/>
          <w:b/>
          <w:bCs/>
        </w:rPr>
        <w:t xml:space="preserve">AO JUÍZO DA 5ª UPJ DAS VARAS CÍVEIS DA COMARCA DE GOIÂNIA/GOIÁS.</w:t>
      </w:r>
    </w:p>
    <w:p w14:paraId="7D77B830" w14:textId="77777777" w:rsidR="00F24099" w:rsidRPr="00486397" w:rsidRDefault="00F24099" w:rsidP="00F24099">
      <w:pPr>
        <w:spacing w:after="0"/>
        <w:ind w:left="-284"/>
        <w:jc w:val="both"/>
        <w:rPr>
          <w:rFonts w:ascii="Book Antiqua" w:hAnsi="Book Antiqua"/>
        </w:rPr>
      </w:pPr>
    </w:p>
    <w:p w14:paraId="5EA1EBE2" w14:textId="77777777" w:rsidR="00F24099" w:rsidRPr="00486397" w:rsidRDefault="00F24099" w:rsidP="00F24099">
      <w:pPr>
        <w:spacing w:after="0"/>
        <w:ind w:left="-284"/>
        <w:jc w:val="both"/>
        <w:rPr>
          <w:rFonts w:ascii="Book Antiqua" w:hAnsi="Book Antiqua"/>
        </w:rPr>
      </w:pPr>
    </w:p>
    <w:p w14:paraId="18E256FB" w14:textId="77777777" w:rsidR="00F24099" w:rsidRPr="00486397" w:rsidRDefault="00F24099" w:rsidP="00F24099">
      <w:pPr>
        <w:spacing w:after="0"/>
        <w:ind w:left="-284"/>
        <w:jc w:val="both"/>
        <w:rPr>
          <w:rFonts w:ascii="Book Antiqua" w:hAnsi="Book Antiqua"/>
        </w:rPr>
      </w:pPr>
    </w:p>
    <w:p w14:paraId="69E036B9" w14:textId="78A5D0F7" w:rsidR="00677764" w:rsidRPr="00486397" w:rsidRDefault="00F24099" w:rsidP="00F24099">
      <w:pPr>
        <w:spacing w:after="0"/>
        <w:ind w:left="-284"/>
        <w:jc w:val="both"/>
        <w:rPr>
          <w:rFonts w:ascii="Book Antiqua" w:hAnsi="Book Antiqua"/>
        </w:rPr>
      </w:pPr>
      <w:r>
        <w:rPr>
          <w:rFonts w:ascii="Book Antiqua" w:hAnsi="Book Antiqua"/>
        </w:rPr>
        <w:t xml:space="preserve">PROCESSO Nº 0172544-63.2010.8.09.0051</w:t>
      </w:r>
    </w:p>
    <w:p w14:paraId="35238010" w14:textId="77777777" w:rsidR="006F721A" w:rsidRPr="00486397" w:rsidRDefault="006F721A" w:rsidP="00F24099">
      <w:pPr>
        <w:spacing w:after="0"/>
        <w:ind w:left="-284"/>
        <w:jc w:val="both"/>
        <w:rPr>
          <w:rFonts w:ascii="Book Antiqua" w:hAnsi="Book Antiqua"/>
        </w:rPr>
      </w:pPr>
    </w:p>
    <w:p w14:paraId="15F42207" w14:textId="77777777" w:rsidR="00F24099" w:rsidRPr="00486397" w:rsidRDefault="00F24099" w:rsidP="00F24099">
      <w:pPr>
        <w:spacing w:after="0"/>
        <w:ind w:left="-284"/>
        <w:jc w:val="both"/>
        <w:rPr>
          <w:rFonts w:ascii="Book Antiqua" w:hAnsi="Book Antiqua"/>
        </w:rPr>
      </w:pPr>
    </w:p>
    <w:p w14:paraId="5A679BD4" w14:textId="77777777" w:rsidR="00E91FD3" w:rsidRPr="00486397" w:rsidRDefault="00E91FD3" w:rsidP="00F24099">
      <w:pPr>
        <w:spacing w:after="0"/>
        <w:ind w:left="-284"/>
        <w:jc w:val="both"/>
        <w:rPr>
          <w:rFonts w:ascii="Book Antiqua" w:hAnsi="Book Antiqua"/>
        </w:rPr>
      </w:pPr>
    </w:p>
    <w:p w14:paraId="505878FF" w14:textId="5CDA10D1" w:rsidR="00363D27" w:rsidRPr="00486397" w:rsidRDefault="008C6931" w:rsidP="004311C1">
      <w:pPr>
        <w:spacing w:after="0"/>
        <w:ind w:left="-284" w:firstLine="851"/>
        <w:jc w:val="both"/>
        <w:rPr>
          <w:rFonts w:ascii="Book Antiqua" w:hAnsi="Book Antiqua"/>
        </w:rPr>
      </w:pPr>
      <w:r>
        <w:rPr>
          <w:rFonts w:ascii="Book Antiqua" w:hAnsi="Book Antiqua"/>
          <w:b/>
          <w:bCs/>
        </w:rPr>
        <w:t xml:space="preserve">CONDOMÍNIO DO EDIFÍCIO PEGASUS</w:t>
      </w:r>
      <w:r>
        <w:rPr>
          <w:rFonts w:ascii="Book Antiqua" w:hAnsi="Book Antiqua"/>
        </w:rPr>
        <w:t xml:space="preserve">, devidamente qualificado nestes autos, via de seus procuradores infra-assinados, vem perante Vossa Excelência, nos autos da </w:t>
      </w:r>
      <w:r>
        <w:rPr>
          <w:rFonts w:ascii="Book Antiqua" w:hAnsi="Book Antiqua"/>
          <w:b/>
          <w:bCs/>
        </w:rPr>
        <w:t xml:space="preserve">EXECUÇÃO</w:t>
      </w:r>
      <w:r>
        <w:rPr>
          <w:rFonts w:ascii="Book Antiqua" w:hAnsi="Book Antiqua"/>
        </w:rPr>
        <w:t xml:space="preserve"> movida em face de </w:t>
      </w:r>
      <w:r>
        <w:rPr>
          <w:rFonts w:ascii="Book Antiqua" w:hAnsi="Book Antiqua"/>
          <w:b/>
          <w:bCs/>
        </w:rPr>
        <w:t xml:space="preserve">SILVANIA RODRIGUES DE PAULA OLIVEIRA</w:t>
      </w:r>
      <w:r>
        <w:rPr>
          <w:rFonts w:ascii="Book Antiqua" w:hAnsi="Book Antiqua"/>
        </w:rPr>
        <w:t xml:space="preserve"> e </w:t>
      </w:r>
      <w:r>
        <w:rPr>
          <w:rFonts w:ascii="Book Antiqua" w:hAnsi="Book Antiqua"/>
          <w:b/>
          <w:bCs/>
        </w:rPr>
        <w:t xml:space="preserve">ALISSON RODRIGUES DE OLIVEIRA</w:t>
      </w:r>
      <w:r>
        <w:rPr>
          <w:rFonts w:ascii="Book Antiqua" w:hAnsi="Book Antiqua"/>
        </w:rPr>
        <w:t xml:space="preserve">, igualmente qualificados, em resposta às intimações dos eventos 334 e 335, manifestar-se acerca da petição do evento 329 e do parecer ministerial do evento 331, o que faz nos termos a seguir.</w:t>
      </w:r>
    </w:p>
    <w:p w14:paraId="7872C282" w14:textId="77777777" w:rsidR="008C6931" w:rsidRPr="00486397" w:rsidRDefault="008C6931" w:rsidP="004311C1">
      <w:pPr>
        <w:spacing w:after="0"/>
        <w:ind w:left="-284" w:firstLine="851"/>
        <w:jc w:val="both"/>
        <w:rPr>
          <w:rFonts w:ascii="Book Antiqua" w:hAnsi="Book Antiqua"/>
        </w:rPr>
      </w:pPr>
    </w:p>
    <w:p>
      <w:pPr>
        <w:spacing w:after="0"/>
        <w:ind w:left="-284"/>
        <w:jc w:val="both"/>
        <w:rPr>
          <w:rFonts w:ascii="Book Antiqua" w:hAnsi="Book Antiqua"/>
        </w:rPr>
      </w:pPr>
      <w:r>
        <w:rPr>
          <w:rFonts w:ascii="Book Antiqua" w:hAnsi="Book Antiqua"/>
          <w:b/>
          <w:bCs/>
        </w:rPr>
        <w:t xml:space="preserve">DA SÍNTESE NECESSÁRIA</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Por meio da decisão do evento 307, Vossa Excelência acolheu parcialmente a impugnação à avaliação apresentada pelos Executados no evento 302 e determinou a realização de nova avaliação do imóvel penhorado por Oficial de Justiça Avaliador. A nova diligência, portanto, foi realizada a pedido e no exclusivo interesse dos próprios Executados.</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Ainda assim, foi o Exequente quem arcou com as custas de locomoção do Oficial de Justiça, conforme comprovante juntado no evento 314.</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Ocorre que a diligência foi frustrada em duas oportunidades, conforme se extrai da certidão do evento 316:</w:t>
      </w:r>
    </w:p>
    <w:p>
      <w:pPr>
        <w:spacing w:after="0"/>
        <w:ind w:left="-284" w:firstLine="851"/>
        <w:jc w:val="both"/>
        <w:rPr>
          <w:rFonts w:ascii="Book Antiqua" w:hAnsi="Book Antiqua"/>
        </w:rPr>
      </w:pPr>
    </w:p>
    <w:p>
      <w:pPr>
        <w:spacing w:after="0"/>
        <w:ind w:left="2268"/>
        <w:jc w:val="both"/>
        <w:rPr>
          <w:rFonts w:ascii="Book Antiqua" w:hAnsi="Book Antiqua"/>
        </w:rPr>
      </w:pPr>
      <w:r>
        <w:rPr>
          <w:rFonts w:ascii="Book Antiqua" w:hAnsi="Book Antiqua"/>
          <w:i/>
          <w:iCs/>
          <w:sz w:val="22"/>
          <w:szCs w:val="22"/>
        </w:rPr>
        <w:t xml:space="preserve">“Certifico que, na data do dia 21/08/2026, às 17:00 horas, diligenciei nesta Capital para o endereço constante no mandado e DEIXEI DE PROCEDER a avaliação do bem indicado, tendo em vista que o imóvel se encontrava fechado.</w:t>
      </w:r>
    </w:p>
    <w:p>
      <w:pPr>
        <w:spacing w:after="0"/>
        <w:ind w:left="-284" w:firstLine="851"/>
        <w:jc w:val="both"/>
        <w:rPr>
          <w:rFonts w:ascii="Book Antiqua" w:hAnsi="Book Antiqua"/>
        </w:rPr>
      </w:pPr>
    </w:p>
    <w:p>
      <w:pPr>
        <w:spacing w:after="0"/>
        <w:ind w:left="2268"/>
        <w:jc w:val="both"/>
        <w:rPr>
          <w:rFonts w:ascii="Book Antiqua" w:hAnsi="Book Antiqua"/>
        </w:rPr>
      </w:pPr>
      <w:r>
        <w:rPr>
          <w:rFonts w:ascii="Book Antiqua" w:hAnsi="Book Antiqua"/>
          <w:i/>
          <w:iCs/>
          <w:sz w:val="22"/>
          <w:szCs w:val="22"/>
        </w:rPr>
        <w:t xml:space="preserve">Certifico que, na data do dia 25/08/2026, às 09:30 horas, diligenciei nesta Capital para o endereço constante no mandado e DEIXEI DE PROCEDER a avaliação do bem indicado, tendo em vista que o morador não permitiu a entrada desta oficiala de justiça nas dependências do condomínio, alegando que estava saindo no momento da diligência. Nada mais.”</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Diante disso, o Exequente requereu, no evento 319, a manutenção da avaliação do evento 294, no valor de R$ 613.000,00 (seiscentos e treze mil reais).</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Na decisão do evento 321, Vossa Excelência determinou a intimação dos Executados para, no prazo de 5 (cinco) dias, se manifestarem especificamente acerca da certidão do evento 316 e da petição do evento 319, </w:t>
      </w:r>
      <w:r>
        <w:rPr>
          <w:rFonts w:ascii="Book Antiqua" w:hAnsi="Book Antiqua"/>
          <w:b/>
          <w:bCs/>
        </w:rPr>
        <w:t xml:space="preserve">sob pena de preclusão</w:t>
      </w:r>
      <w:r>
        <w:rPr>
          <w:rFonts w:ascii="Book Antiqua" w:hAnsi="Book Antiqua"/>
        </w:rPr>
        <w:t xml:space="preserve">.</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Em resposta, os Executados se limitaram a requerer, no evento 329, a expedição de novo mandado de avaliação, comprometendo-se a “permanecer no imóvel a fim de que o mandado seja cumprido”. Nada mais disseram.</w:t>
      </w:r>
    </w:p>
    <w:p>
      <w:pPr>
        <w:spacing w:after="0"/>
        <w:ind w:left="-284" w:firstLine="851"/>
        <w:jc w:val="both"/>
        <w:rPr>
          <w:rFonts w:ascii="Book Antiqua" w:hAnsi="Book Antiqua"/>
        </w:rPr>
      </w:pPr>
    </w:p>
    <w:p>
      <w:pPr>
        <w:spacing w:after="0"/>
        <w:ind w:left="-284"/>
        <w:jc w:val="both"/>
        <w:rPr>
          <w:rFonts w:ascii="Book Antiqua" w:hAnsi="Book Antiqua"/>
        </w:rPr>
      </w:pPr>
      <w:r>
        <w:rPr>
          <w:rFonts w:ascii="Book Antiqua" w:hAnsi="Book Antiqua"/>
          <w:b/>
          <w:bCs/>
        </w:rPr>
        <w:t xml:space="preserve">DA AUSÊNCIA DE QUALQUER JUSTIFICATIVA PARA A OBSTRUÇÃO DA DILIGÊNCIA</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Embora intimados expressamente para se manifestar sobre a certidão do evento 316, sob pena de preclusão, os Executados não apresentaram uma única linha de justificativa para o fato de o Oficial de Justiça ter sido impedido de cumprir a ordem judicial. Não impugnaram a certidão, que goza de fé pública, não negaram a recusa, não a atribuíram a terceiro e tampouco refutaram o caráter protelatório da conduta apontado pelo Exequente.</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Ao contrário, ao se comprometerem a “permanecer no imóvel”, os próprios Executados confirmam que são eles que ocupam o bem penhorado e que, portanto, cabia a eles franquear o acesso do Oficial de Justiça.</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A justificativa dada no momento da diligência, de que o morador “estava saindo”, não resiste a qualquer análise. A avaliação de um imóvel demanda poucos minutos, e nada impedia que o ocupante permitisse a vistoria ou, ao menos, procurasse o Oficial de Justiça ou este Juízo para indicar data e horário para o cumprimento do mandado. Nada disso foi feito. O interesse dos Executados na nova avaliação somente reapareceu depois que o Exequente requereu a manutenção do laudo anterior.</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Soma-se a isso o fato de que, na primeira tentativa, em 21/08/2026, o imóvel sequer foi encontrado aberto.</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Trata-se de evidente comportamento contraditório. Foram os Executados que impugnaram a avaliação do evento 294 e pediram que o bem fosse novamente avaliado. Deferido o pedido, foram eles mesmos que impediram a sua realização. A conduta viola o dever de boa-fé processual (art. 5º do CPC), o dever de cooperação (art. 6º do CPC) e o dever de cumprir com exatidão as decisões judiciais sem criar embaraços à sua efetivação (art. 77, IV, do CPC).</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Não se pode perder de vista que esta execução tramita desde 2010. Permitir que os Executados impugnem a avaliação, obstruam a diligência que eles próprios requereram e, depois, simplesmente peçam a renovação do ato, sem qualquer consequência, é premiar a protelação em detrimento da duração razoável do processo (art. 5º, LXXVIII, da Constituição Federal e arts. 4º e 139, II, do CPC).</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Por essas razões, o Exequente </w:t>
      </w:r>
      <w:r>
        <w:rPr>
          <w:rFonts w:ascii="Book Antiqua" w:hAnsi="Book Antiqua"/>
          <w:b/>
          <w:bCs/>
        </w:rPr>
        <w:t xml:space="preserve">mantém o pedido formulado no evento 319</w:t>
      </w:r>
      <w:r>
        <w:rPr>
          <w:rFonts w:ascii="Book Antiqua" w:hAnsi="Book Antiqua"/>
        </w:rPr>
        <w:t xml:space="preserve">, para que seja homologada a avaliação do evento 294.</w:t>
      </w:r>
    </w:p>
    <w:p>
      <w:pPr>
        <w:spacing w:after="0"/>
        <w:ind w:left="-284" w:firstLine="851"/>
        <w:jc w:val="both"/>
        <w:rPr>
          <w:rFonts w:ascii="Book Antiqua" w:hAnsi="Book Antiqua"/>
        </w:rPr>
      </w:pPr>
    </w:p>
    <w:p>
      <w:pPr>
        <w:spacing w:after="0"/>
        <w:ind w:left="-284"/>
        <w:jc w:val="both"/>
        <w:rPr>
          <w:rFonts w:ascii="Book Antiqua" w:hAnsi="Book Antiqua"/>
        </w:rPr>
      </w:pPr>
      <w:r>
        <w:rPr>
          <w:rFonts w:ascii="Book Antiqua" w:hAnsi="Book Antiqua"/>
          <w:b/>
          <w:bCs/>
        </w:rPr>
        <w:t xml:space="preserve">DO ÔNUS DAS DESPESAS DE EVENTUAL NOVA DILIGÊNCIA</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Caso Vossa Excelência entenda pela renovação da diligência, o Exequente não pode ser novamente penalizado, seja com mais um recolhimento de custas de locomoção, seja com a perda de tempo útil decorrente de uma nova diligência que somente se tornou necessária por conduta exclusiva dos Executados.</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Nos termos do art. 82 do CPC, incumbe às partes prover as despesas dos atos que requererem. A nova avaliação foi requerida pelos Executados, de modo que a eles cabia, desde o início, o adiantamento das despesas com a diligência.</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Além disso, o art. 93 do CPC é expresso ao dispor que as despesas de atos cuja repetição for necessária ficarão a cargo da parte que, sem justo motivo, houver dado causa à repetição. É exatamente o caso dos autos.</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Assim, eventual nova diligência deve ter suas custas de locomoção recolhidas pelos Executados, cabendo a eles, ainda, ressarcir o valor já despendido pelo Exequente no evento 314.</w:t>
      </w:r>
    </w:p>
    <w:p>
      <w:pPr>
        <w:spacing w:after="0"/>
        <w:ind w:left="-284" w:firstLine="851"/>
        <w:jc w:val="both"/>
        <w:rPr>
          <w:rFonts w:ascii="Book Antiqua" w:hAnsi="Book Antiqua"/>
        </w:rPr>
      </w:pPr>
    </w:p>
    <w:p>
      <w:pPr>
        <w:spacing w:after="0"/>
        <w:ind w:left="-284"/>
        <w:jc w:val="both"/>
        <w:rPr>
          <w:rFonts w:ascii="Book Antiqua" w:hAnsi="Book Antiqua"/>
        </w:rPr>
      </w:pPr>
      <w:r>
        <w:rPr>
          <w:rFonts w:ascii="Book Antiqua" w:hAnsi="Book Antiqua"/>
          <w:b/>
          <w:bCs/>
        </w:rPr>
        <w:t xml:space="preserve">DA NECESSIDADE DE ADVERTÊNCIA E DE CONSEQUÊNCIA PRÉVIA PARA NOVA OBSTRUÇÃO</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O compromisso assumido pelos Executados no evento 329 é unilateral e, por si só, não oferece qualquer garantia. Nada assegura que os Executados não voltarão a impedir o cumprimento do mandado, como já fizeram, com o único resultado de prolongar ainda mais a execução.</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O art. 774, IV, do CPC considera atentatória à dignidade da justiça a conduta do executado que resiste injustificadamente às ordens judiciais, sujeitando-o à multa de até 20% (vinte por cento) do valor atualizado do débito, em proveito do exequente (art. 774, parágrafo único, do CPC). O art. 772, II, do CPC, por sua vez, autoriza o juiz a advertir o executado de que o seu procedimento constitui ato atentatório à dignidade da justiça.</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Desse modo, caso seja determinada a renovação do ato, é indispensável que os Executados sejam expressamente advertidos de que nova recusa de acesso, ou nova ausência, importará na imediata homologação da avaliação do evento 294, sem prejuízo da aplicação da multa prevista no art. 774, parágrafo único, do CPC.</w:t>
      </w:r>
    </w:p>
    <w:p>
      <w:pPr>
        <w:spacing w:after="0"/>
        <w:ind w:left="-284" w:firstLine="851"/>
        <w:jc w:val="both"/>
        <w:rPr>
          <w:rFonts w:ascii="Book Antiqua" w:hAnsi="Book Antiqua"/>
        </w:rPr>
      </w:pPr>
    </w:p>
    <w:p>
      <w:pPr>
        <w:spacing w:after="0"/>
        <w:ind w:left="-284"/>
        <w:jc w:val="both"/>
        <w:rPr>
          <w:rFonts w:ascii="Book Antiqua" w:hAnsi="Book Antiqua"/>
        </w:rPr>
      </w:pPr>
      <w:r>
        <w:rPr>
          <w:rFonts w:ascii="Book Antiqua" w:hAnsi="Book Antiqua"/>
          <w:b/>
          <w:bCs/>
        </w:rPr>
        <w:t xml:space="preserve">DO QUESTIONAMENTO DO MINISTÉRIO PÚBLICO</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Quanto ao questionamento formulado pelo Ministério Público no evento 331, o Exequente informa que não possui interesse em acompanhar a diligência de avaliação, ato que compete exclusivamente ao Oficial de Justiça Avaliador. Esclarece, ainda, que a recusa certificada no evento 316 partiu do ocupante do imóvel penhorado, e não da administração do condomínio, cabendo exclusivamente aos Executados franquear o acesso do Oficial de Justiça à unidade.</w:t>
      </w:r>
    </w:p>
    <w:p>
      <w:pPr>
        <w:spacing w:after="0"/>
        <w:ind w:left="-284" w:firstLine="851"/>
        <w:jc w:val="both"/>
        <w:rPr>
          <w:rFonts w:ascii="Book Antiqua" w:hAnsi="Book Antiqua"/>
        </w:rPr>
      </w:pPr>
    </w:p>
    <w:p>
      <w:pPr>
        <w:spacing w:after="0"/>
        <w:ind w:left="-284"/>
        <w:jc w:val="both"/>
        <w:rPr>
          <w:rFonts w:ascii="Book Antiqua" w:hAnsi="Book Antiqua"/>
        </w:rPr>
      </w:pPr>
      <w:r>
        <w:rPr>
          <w:rFonts w:ascii="Book Antiqua" w:hAnsi="Book Antiqua"/>
          <w:b/>
          <w:bCs/>
        </w:rPr>
        <w:t xml:space="preserve">DOS PEDIDOS</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Diante do exposto, requer a Vossa Excelência:</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a) a manutenção do pedido formulado no evento 319, com a homologação da avaliação do evento 294, no valor de R$ 613.000,00 (seiscentos e treze mil reais), e o regular prosseguimento da execução;</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b) subsidiariamente, caso Vossa Excelência entenda pela renovação da diligência:</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b.1) que os Executados sejam intimados a recolher as custas de locomoção do Oficial de Justiça e a comprovar o pagamento nos autos, no prazo de 5 (cinco) dias, sob pena de homologação da avaliação do evento 294, nos termos dos arts. 82 e 93 do CPC;</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b.2) que os Executados sejam condenados a ressarcir ao Exequente as custas de locomoção recolhidas no evento 314, com a inclusão do respectivo valor no débito exequendo, nos termos do art. 93 do CPC;</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b.3) que o mandado seja cumprido em data e horário previamente comunicados aos Executados, por meio de seu advogado constituído;</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b.4) que os Executados sejam expressamente advertidos, nos termos do art. 772, II, do CPC, de que nova recusa de acesso ou nova ausência configurará ato atentatório à dignidade da justiça (art. 774, IV, do CPC), com a aplicação da multa de até 20% (vinte por cento) do valor atualizado do débito em favor do Exequente (art. 774, parágrafo único, do CPC);</w:t>
      </w:r>
    </w:p>
    <w:p>
      <w:pPr>
        <w:spacing w:after="0"/>
        <w:ind w:left="-284" w:firstLine="851"/>
        <w:jc w:val="both"/>
        <w:rPr>
          <w:rFonts w:ascii="Book Antiqua" w:hAnsi="Book Antiqua"/>
        </w:rPr>
      </w:pPr>
    </w:p>
    <w:p>
      <w:pPr>
        <w:spacing w:after="0"/>
        <w:ind w:left="-284" w:firstLine="851"/>
        <w:jc w:val="both"/>
        <w:rPr>
          <w:rFonts w:ascii="Book Antiqua" w:hAnsi="Book Antiqua"/>
        </w:rPr>
      </w:pPr>
      <w:r>
        <w:rPr>
          <w:rFonts w:ascii="Book Antiqua" w:hAnsi="Book Antiqua"/>
        </w:rPr>
        <w:t xml:space="preserve">b.5) que, frustrada novamente a diligência por fato imputável aos Executados, seja desde logo homologada a avaliação do evento 294, independentemente de nova intimação, reconhecendo-se a preclusão do direito dos Executados de impugná-la; ou, ainda subsidiariamente, que o Oficial de Justiça fique desde já autorizado a proceder com arrombamento e requisição de força policial, se necessário, por aplicação analógica do art. 846 do CPC, ficando consignado que, nessa hipótese, não poderão os Executados impugnar o novo laudo.</w:t>
      </w:r>
    </w:p>
    <w:p>
      <w:pPr>
        <w:spacing w:after="0"/>
        <w:ind w:left="-284" w:firstLine="851"/>
        <w:jc w:val="both"/>
        <w:rPr>
          <w:rFonts w:ascii="Book Antiqua" w:hAnsi="Book Antiqua"/>
        </w:rPr>
      </w:pPr>
    </w:p>
    <w:p w14:paraId="2EB5F848" w14:textId="77777777" w:rsidR="00F24099" w:rsidRPr="00486397" w:rsidRDefault="00F24099" w:rsidP="00105D1E">
      <w:pPr>
        <w:spacing w:after="0"/>
        <w:ind w:firstLine="567"/>
        <w:jc w:val="both"/>
        <w:rPr>
          <w:rFonts w:ascii="Book Antiqua" w:hAnsi="Book Antiqua"/>
        </w:rPr>
      </w:pPr>
      <w:r>
        <w:rPr>
          <w:rFonts w:ascii="Book Antiqua" w:hAnsi="Book Antiqua"/>
        </w:rPr>
        <w:t>Confia-se no deferimento.</w:t>
      </w:r>
    </w:p>
    <w:p w14:paraId="1602B04F" w14:textId="77777777" w:rsidR="00F24099" w:rsidRPr="00486397" w:rsidRDefault="00F24099" w:rsidP="00105D1E">
      <w:pPr>
        <w:spacing w:after="0"/>
        <w:ind w:firstLine="567"/>
        <w:jc w:val="both"/>
        <w:rPr>
          <w:rFonts w:ascii="Book Antiqua" w:hAnsi="Book Antiqua"/>
        </w:rPr>
      </w:pPr>
    </w:p>
    <w:p w14:paraId="00328B7D" w14:textId="2A9553FE" w:rsidR="00F24099" w:rsidRPr="00486397" w:rsidRDefault="00F24099" w:rsidP="00105D1E">
      <w:pPr>
        <w:spacing w:after="0"/>
        <w:ind w:firstLine="567"/>
        <w:jc w:val="both"/>
        <w:rPr>
          <w:rFonts w:ascii="Book Antiqua" w:hAnsi="Book Antiqua"/>
        </w:rPr>
      </w:pPr>
      <w:r>
        <w:rPr>
          <w:rFonts w:ascii="Book Antiqua" w:hAnsi="Book Antiqua"/>
        </w:rPr>
        <w:t xml:space="preserve">Goiânia, </w:t>
      </w:r>
      <w:r>
        <w:rPr>
          <w:rFonts w:ascii="Book Antiqua" w:hAnsi="Book Antiqua"/>
        </w:rPr>
        <w:t xml:space="preserve">1º de outubro de 2026</w:t>
      </w:r>
      <w:r>
        <w:rPr>
          <w:rFonts w:ascii="Book Antiqua" w:hAnsi="Book Antiqua"/>
        </w:rPr>
        <w:t xml:space="preserve">.</w:t>
      </w:r>
    </w:p>
    <w:p w14:paraId="2E1DE426" w14:textId="77777777" w:rsidR="00F24099" w:rsidRPr="00486397" w:rsidRDefault="00F24099" w:rsidP="00F24099">
      <w:pPr>
        <w:spacing w:after="0"/>
        <w:ind w:firstLine="1134"/>
        <w:jc w:val="both"/>
        <w:rPr>
          <w:rFonts w:ascii="Book Antiqua" w:hAnsi="Book Antiqua"/>
        </w:rPr>
      </w:pPr>
    </w:p>
    <w:p w14:paraId="4BC63FF3" w14:textId="77777777" w:rsidR="00F24099" w:rsidRPr="00486397" w:rsidRDefault="00F24099" w:rsidP="00F24099">
      <w:pPr>
        <w:spacing w:after="0"/>
        <w:ind w:firstLine="1134"/>
        <w:jc w:val="both"/>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5"/>
        <w:gridCol w:w="4394"/>
      </w:tblGrid>
      <w:tr w:rsidR="00F24099" w:rsidRPr="00486397" w14:paraId="5A0A1C0F" w14:textId="77777777" w:rsidTr="005E27E3">
        <w:tc>
          <w:tcPr>
            <w:tcW w:w="4536" w:type="dxa"/>
            <w:tcBorders>
              <w:top w:val="nil"/>
              <w:left w:val="nil"/>
              <w:bottom w:val="nil"/>
              <w:right w:val="nil"/>
            </w:tcBorders>
          </w:tcPr>
          <w:p w14:paraId="0F9033B5" w14:textId="77777777" w:rsidR="00F24099" w:rsidRPr="00486397" w:rsidRDefault="00F24099" w:rsidP="00105D1E">
            <w:pPr>
              <w:pStyle w:val="Cabealho"/>
              <w:tabs>
                <w:tab w:val="clear" w:pos="4252"/>
                <w:tab w:val="clear" w:pos="8504"/>
                <w:tab w:val="left" w:pos="2655"/>
              </w:tabs>
              <w:spacing w:line="276" w:lineRule="auto"/>
              <w:ind w:left="-284" w:right="-1"/>
              <w:jc w:val="center"/>
              <w:rPr>
                <w:rFonts w:ascii="Book Antiqua" w:hAnsi="Book Antiqua"/>
                <w:color w:val="000000" w:themeColor="text1"/>
              </w:rPr>
            </w:pPr>
            <w:r>
              <w:rPr>
                <w:rFonts w:ascii="Book Antiqua" w:hAnsi="Book Antiqua"/>
                <w:color w:val="000000" w:themeColor="text1"/>
              </w:rPr>
              <w:t>Vanessa Lima Abdala Franco</w:t>
            </w:r>
          </w:p>
          <w:p w14:paraId="2A1C65D8" w14:textId="77777777" w:rsidR="00F24099" w:rsidRPr="00486397" w:rsidRDefault="00F24099" w:rsidP="00105D1E">
            <w:pPr>
              <w:pStyle w:val="Cabealho"/>
              <w:tabs>
                <w:tab w:val="clear" w:pos="4252"/>
                <w:tab w:val="clear" w:pos="8504"/>
                <w:tab w:val="left" w:pos="2655"/>
              </w:tabs>
              <w:spacing w:line="276" w:lineRule="auto"/>
              <w:ind w:left="-284" w:right="-1"/>
              <w:jc w:val="center"/>
              <w:rPr>
                <w:rFonts w:ascii="Book Antiqua" w:hAnsi="Book Antiqua"/>
                <w:color w:val="000000" w:themeColor="text1"/>
              </w:rPr>
            </w:pPr>
            <w:r>
              <w:rPr>
                <w:rFonts w:ascii="Book Antiqua" w:hAnsi="Book Antiqua"/>
                <w:color w:val="000000" w:themeColor="text1"/>
              </w:rPr>
              <w:t>OAB/GO nº 24.436</w:t>
            </w:r>
          </w:p>
        </w:tc>
        <w:tc>
          <w:tcPr>
            <w:tcW w:w="4536" w:type="dxa"/>
            <w:tcBorders>
              <w:top w:val="nil"/>
              <w:left w:val="nil"/>
              <w:bottom w:val="nil"/>
              <w:right w:val="nil"/>
            </w:tcBorders>
          </w:tcPr>
          <w:p w14:paraId="1E7BE710" w14:textId="77777777" w:rsidR="00F24099" w:rsidRPr="00486397" w:rsidRDefault="00F24099" w:rsidP="00105D1E">
            <w:pPr>
              <w:pStyle w:val="Cabealho"/>
              <w:spacing w:line="276" w:lineRule="auto"/>
              <w:ind w:left="-284" w:right="-1"/>
              <w:jc w:val="center"/>
              <w:rPr>
                <w:rFonts w:ascii="Book Antiqua" w:hAnsi="Book Antiqua"/>
                <w:color w:val="000000" w:themeColor="text1"/>
              </w:rPr>
            </w:pPr>
            <w:r>
              <w:rPr>
                <w:rFonts w:ascii="Book Antiqua" w:hAnsi="Book Antiqua"/>
                <w:color w:val="000000" w:themeColor="text1"/>
              </w:rPr>
              <w:t>Núbia Barbosa Moura</w:t>
            </w:r>
          </w:p>
          <w:p w14:paraId="125C1141" w14:textId="77777777" w:rsidR="00F24099" w:rsidRPr="00486397" w:rsidRDefault="00F24099" w:rsidP="00105D1E">
            <w:pPr>
              <w:pStyle w:val="Cabealho"/>
              <w:spacing w:line="276" w:lineRule="auto"/>
              <w:ind w:left="-284" w:right="-1"/>
              <w:jc w:val="center"/>
              <w:rPr>
                <w:rFonts w:ascii="Book Antiqua" w:hAnsi="Book Antiqua"/>
                <w:color w:val="000000" w:themeColor="text1"/>
              </w:rPr>
            </w:pPr>
            <w:r>
              <w:rPr>
                <w:rFonts w:ascii="Book Antiqua" w:hAnsi="Book Antiqua"/>
                <w:color w:val="000000" w:themeColor="text1"/>
              </w:rPr>
              <w:t>OAB/GO nº 31.869</w:t>
            </w:r>
          </w:p>
          <w:p w14:paraId="710EA62E" w14:textId="77777777" w:rsidR="00F24099" w:rsidRPr="00486397" w:rsidRDefault="00F24099" w:rsidP="00105D1E">
            <w:pPr>
              <w:pStyle w:val="Cabealho"/>
              <w:spacing w:line="276" w:lineRule="auto"/>
              <w:ind w:left="-284" w:right="-1"/>
              <w:jc w:val="center"/>
              <w:rPr>
                <w:rFonts w:ascii="Book Antiqua" w:hAnsi="Book Antiqua"/>
                <w:color w:val="000000" w:themeColor="text1"/>
              </w:rPr>
            </w:pPr>
          </w:p>
        </w:tc>
      </w:tr>
    </w:tbl>
    <w:p w14:paraId="50E35446" w14:textId="77777777" w:rsidR="00F24099" w:rsidRPr="00486397" w:rsidRDefault="00F24099" w:rsidP="00105D1E">
      <w:pPr>
        <w:pStyle w:val="Cabealho"/>
        <w:spacing w:line="276" w:lineRule="auto"/>
        <w:ind w:left="-284" w:right="-1"/>
        <w:jc w:val="center"/>
        <w:rPr>
          <w:rFonts w:ascii="Book Antiqua" w:hAnsi="Book Antiqua"/>
          <w:color w:val="000000" w:themeColor="text1"/>
        </w:rPr>
      </w:pPr>
      <w:r>
        <w:rPr>
          <w:rFonts w:ascii="Book Antiqua" w:hAnsi="Book Antiqua"/>
          <w:color w:val="000000" w:themeColor="text1"/>
        </w:rPr>
        <w:t>Renato Abdala Filho</w:t>
      </w:r>
    </w:p>
    <w:p w14:paraId="3C24DFB1" w14:textId="77777777" w:rsidR="00F24099" w:rsidRPr="00486397" w:rsidRDefault="00F24099" w:rsidP="00105D1E">
      <w:pPr>
        <w:pStyle w:val="Cabealho"/>
        <w:spacing w:line="276" w:lineRule="auto"/>
        <w:ind w:left="-284" w:right="-1"/>
        <w:jc w:val="center"/>
        <w:rPr>
          <w:rFonts w:ascii="Book Antiqua" w:hAnsi="Book Antiqua"/>
          <w:color w:val="000000" w:themeColor="text1"/>
        </w:rPr>
      </w:pPr>
      <w:r>
        <w:rPr>
          <w:rFonts w:ascii="Book Antiqua" w:hAnsi="Book Antiqua"/>
          <w:color w:val="000000" w:themeColor="text1"/>
        </w:rPr>
        <w:t>OAB/GO nº 30.671</w:t>
      </w:r>
    </w:p>
    <w:p w14:paraId="796B9166" w14:textId="77777777" w:rsidR="00F24099" w:rsidRPr="00486397" w:rsidRDefault="00F24099" w:rsidP="00F24099">
      <w:pPr>
        <w:spacing w:after="0"/>
        <w:ind w:left="-284" w:firstLine="851"/>
        <w:jc w:val="both"/>
        <w:rPr>
          <w:rFonts w:ascii="Book Antiqua" w:hAnsi="Book Antiqua"/>
        </w:rPr>
      </w:pPr>
    </w:p>
    <w:sectPr w:rsidR="00F24099" w:rsidRPr="00486397" w:rsidSect="00C33394">
      <w:headerReference w:type="default" r:id="rId7"/>
      <w:pgSz w:w="11906" w:h="16838"/>
      <w:pgMar w:top="1417" w:right="1416"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2FF19" w14:textId="77777777" w:rsidR="000A4458" w:rsidRDefault="000A4458" w:rsidP="00ED52FA">
      <w:pPr>
        <w:spacing w:after="0" w:line="240" w:lineRule="auto"/>
      </w:pPr>
      <w:r>
        <w:separator/>
      </w:r>
    </w:p>
  </w:endnote>
  <w:endnote w:type="continuationSeparator" w:id="0">
    <w:p w14:paraId="34A17E39" w14:textId="77777777" w:rsidR="000A4458" w:rsidRDefault="000A4458" w:rsidP="00ED5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2A2B1" w14:textId="77777777" w:rsidR="000A4458" w:rsidRDefault="000A4458" w:rsidP="00ED52FA">
      <w:pPr>
        <w:spacing w:after="0" w:line="240" w:lineRule="auto"/>
      </w:pPr>
      <w:r>
        <w:separator/>
      </w:r>
    </w:p>
  </w:footnote>
  <w:footnote w:type="continuationSeparator" w:id="0">
    <w:p w14:paraId="0D43B274" w14:textId="77777777" w:rsidR="000A4458" w:rsidRDefault="000A4458" w:rsidP="00ED5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56759" w14:textId="23FF693D" w:rsidR="00ED52FA" w:rsidRPr="00ED52FA" w:rsidRDefault="00ED52FA">
    <w:pPr>
      <w:pStyle w:val="Cabealho"/>
      <w:rPr>
        <w:lang w:val="en-US"/>
      </w:rPr>
    </w:pPr>
    <w:r>
      <w:rPr>
        <w:noProof/>
        <w:lang w:val="en-US"/>
      </w:rPr>
      <w:drawing>
        <wp:anchor distT="0" distB="0" distL="114300" distR="114300" simplePos="0" relativeHeight="251658240" behindDoc="1" locked="0" layoutInCell="1" allowOverlap="1" wp14:anchorId="0451FCC0" wp14:editId="33A9B0FC">
          <wp:simplePos x="0" y="0"/>
          <wp:positionH relativeFrom="column">
            <wp:posOffset>-1085643</wp:posOffset>
          </wp:positionH>
          <wp:positionV relativeFrom="paragraph">
            <wp:posOffset>-444955</wp:posOffset>
          </wp:positionV>
          <wp:extent cx="7558296" cy="10683238"/>
          <wp:effectExtent l="0" t="0" r="0" b="0"/>
          <wp:wrapNone/>
          <wp:docPr id="1135801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85855" name="Imagem 1"/>
                  <pic:cNvPicPr/>
                </pic:nvPicPr>
                <pic:blipFill>
                  <a:blip r:embed="rId1">
                    <a:extLst>
                      <a:ext uri="{28A0092B-C50C-407E-A947-70E740481C1C}">
                        <a14:useLocalDpi xmlns:a14="http://schemas.microsoft.com/office/drawing/2010/main" val="0"/>
                      </a:ext>
                    </a:extLst>
                  </a:blip>
                  <a:stretch>
                    <a:fillRect/>
                  </a:stretch>
                </pic:blipFill>
                <pic:spPr>
                  <a:xfrm>
                    <a:off x="0" y="0"/>
                    <a:ext cx="7558296" cy="1068323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E7E96"/>
    <w:multiLevelType w:val="hybridMultilevel"/>
    <w:tmpl w:val="196CC8F4"/>
    <w:lvl w:ilvl="0" w:tplc="04160009">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 w15:restartNumberingAfterBreak="0">
    <w:nsid w:val="3957785D"/>
    <w:multiLevelType w:val="hybridMultilevel"/>
    <w:tmpl w:val="D314599C"/>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 w15:restartNumberingAfterBreak="0">
    <w:nsid w:val="3B7066EF"/>
    <w:multiLevelType w:val="hybridMultilevel"/>
    <w:tmpl w:val="71CADF4C"/>
    <w:lvl w:ilvl="0" w:tplc="04160009">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 w15:restartNumberingAfterBreak="0">
    <w:nsid w:val="3EE51DD7"/>
    <w:multiLevelType w:val="hybridMultilevel"/>
    <w:tmpl w:val="1538538A"/>
    <w:lvl w:ilvl="0" w:tplc="04160009">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4" w15:restartNumberingAfterBreak="0">
    <w:nsid w:val="6C4D0F5F"/>
    <w:multiLevelType w:val="hybridMultilevel"/>
    <w:tmpl w:val="F274D750"/>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5" w15:restartNumberingAfterBreak="0">
    <w:nsid w:val="7D381DB8"/>
    <w:multiLevelType w:val="hybridMultilevel"/>
    <w:tmpl w:val="AC16398A"/>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num w:numId="1" w16cid:durableId="717820923">
    <w:abstractNumId w:val="2"/>
  </w:num>
  <w:num w:numId="2" w16cid:durableId="2093620894">
    <w:abstractNumId w:val="3"/>
  </w:num>
  <w:num w:numId="3" w16cid:durableId="1354459614">
    <w:abstractNumId w:val="1"/>
  </w:num>
  <w:num w:numId="4" w16cid:durableId="604536173">
    <w:abstractNumId w:val="0"/>
  </w:num>
  <w:num w:numId="5" w16cid:durableId="1168786855">
    <w:abstractNumId w:val="4"/>
  </w:num>
  <w:num w:numId="6" w16cid:durableId="2088721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2FA"/>
    <w:rsid w:val="00053F9A"/>
    <w:rsid w:val="00071CFF"/>
    <w:rsid w:val="00096797"/>
    <w:rsid w:val="000A4458"/>
    <w:rsid w:val="00105D1E"/>
    <w:rsid w:val="00147847"/>
    <w:rsid w:val="00194778"/>
    <w:rsid w:val="001A46A5"/>
    <w:rsid w:val="001D4B45"/>
    <w:rsid w:val="001F1EDC"/>
    <w:rsid w:val="00270D3F"/>
    <w:rsid w:val="002A2D11"/>
    <w:rsid w:val="002D3FDA"/>
    <w:rsid w:val="00363D27"/>
    <w:rsid w:val="00370DBD"/>
    <w:rsid w:val="004311C1"/>
    <w:rsid w:val="00434FAB"/>
    <w:rsid w:val="004517C9"/>
    <w:rsid w:val="00486397"/>
    <w:rsid w:val="004F7076"/>
    <w:rsid w:val="00583EF6"/>
    <w:rsid w:val="00677764"/>
    <w:rsid w:val="006F3DB0"/>
    <w:rsid w:val="006F6A27"/>
    <w:rsid w:val="006F721A"/>
    <w:rsid w:val="007251C5"/>
    <w:rsid w:val="00754798"/>
    <w:rsid w:val="007A1143"/>
    <w:rsid w:val="007C5B67"/>
    <w:rsid w:val="008028E7"/>
    <w:rsid w:val="008161E1"/>
    <w:rsid w:val="008C6931"/>
    <w:rsid w:val="00994F66"/>
    <w:rsid w:val="009D7348"/>
    <w:rsid w:val="00A1112D"/>
    <w:rsid w:val="00A24159"/>
    <w:rsid w:val="00B77842"/>
    <w:rsid w:val="00C02728"/>
    <w:rsid w:val="00C12903"/>
    <w:rsid w:val="00C33394"/>
    <w:rsid w:val="00C44D51"/>
    <w:rsid w:val="00CA6FF9"/>
    <w:rsid w:val="00CD082A"/>
    <w:rsid w:val="00CE22FF"/>
    <w:rsid w:val="00CE45B3"/>
    <w:rsid w:val="00D2070C"/>
    <w:rsid w:val="00D6690C"/>
    <w:rsid w:val="00DB74BD"/>
    <w:rsid w:val="00E33CDB"/>
    <w:rsid w:val="00E65C6C"/>
    <w:rsid w:val="00E91FD3"/>
    <w:rsid w:val="00EC4209"/>
    <w:rsid w:val="00ED52FA"/>
    <w:rsid w:val="00F12577"/>
    <w:rsid w:val="00F240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0608E"/>
  <w15:chartTrackingRefBased/>
  <w15:docId w15:val="{2932BFE3-374B-304A-9AAD-24CE0501E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D5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D5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D52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D52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D52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D52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D52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D52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D52F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D52F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D52F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D52F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D52F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D52F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D52F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D52F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D52F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D52FA"/>
    <w:rPr>
      <w:rFonts w:eastAsiaTheme="majorEastAsia" w:cstheme="majorBidi"/>
      <w:color w:val="272727" w:themeColor="text1" w:themeTint="D8"/>
    </w:rPr>
  </w:style>
  <w:style w:type="paragraph" w:styleId="Ttulo">
    <w:name w:val="Title"/>
    <w:basedOn w:val="Normal"/>
    <w:next w:val="Normal"/>
    <w:link w:val="TtuloChar"/>
    <w:uiPriority w:val="10"/>
    <w:qFormat/>
    <w:rsid w:val="00ED5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D52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D52F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D52F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D52FA"/>
    <w:pPr>
      <w:spacing w:before="160"/>
      <w:jc w:val="center"/>
    </w:pPr>
    <w:rPr>
      <w:i/>
      <w:iCs/>
      <w:color w:val="404040" w:themeColor="text1" w:themeTint="BF"/>
    </w:rPr>
  </w:style>
  <w:style w:type="character" w:customStyle="1" w:styleId="CitaoChar">
    <w:name w:val="Citação Char"/>
    <w:basedOn w:val="Fontepargpadro"/>
    <w:link w:val="Citao"/>
    <w:uiPriority w:val="29"/>
    <w:rsid w:val="00ED52FA"/>
    <w:rPr>
      <w:i/>
      <w:iCs/>
      <w:color w:val="404040" w:themeColor="text1" w:themeTint="BF"/>
    </w:rPr>
  </w:style>
  <w:style w:type="paragraph" w:styleId="PargrafodaLista">
    <w:name w:val="List Paragraph"/>
    <w:basedOn w:val="Normal"/>
    <w:uiPriority w:val="34"/>
    <w:qFormat/>
    <w:rsid w:val="00ED52FA"/>
    <w:pPr>
      <w:ind w:left="720"/>
      <w:contextualSpacing/>
    </w:pPr>
  </w:style>
  <w:style w:type="character" w:styleId="nfaseIntensa">
    <w:name w:val="Intense Emphasis"/>
    <w:basedOn w:val="Fontepargpadro"/>
    <w:uiPriority w:val="21"/>
    <w:qFormat/>
    <w:rsid w:val="00ED52FA"/>
    <w:rPr>
      <w:i/>
      <w:iCs/>
      <w:color w:val="0F4761" w:themeColor="accent1" w:themeShade="BF"/>
    </w:rPr>
  </w:style>
  <w:style w:type="paragraph" w:styleId="CitaoIntensa">
    <w:name w:val="Intense Quote"/>
    <w:basedOn w:val="Normal"/>
    <w:next w:val="Normal"/>
    <w:link w:val="CitaoIntensaChar"/>
    <w:uiPriority w:val="30"/>
    <w:qFormat/>
    <w:rsid w:val="00ED5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D52FA"/>
    <w:rPr>
      <w:i/>
      <w:iCs/>
      <w:color w:val="0F4761" w:themeColor="accent1" w:themeShade="BF"/>
    </w:rPr>
  </w:style>
  <w:style w:type="character" w:styleId="RefernciaIntensa">
    <w:name w:val="Intense Reference"/>
    <w:basedOn w:val="Fontepargpadro"/>
    <w:uiPriority w:val="32"/>
    <w:qFormat/>
    <w:rsid w:val="00ED52FA"/>
    <w:rPr>
      <w:b/>
      <w:bCs/>
      <w:smallCaps/>
      <w:color w:val="0F4761" w:themeColor="accent1" w:themeShade="BF"/>
      <w:spacing w:val="5"/>
    </w:rPr>
  </w:style>
  <w:style w:type="paragraph" w:styleId="Cabealho">
    <w:name w:val="header"/>
    <w:basedOn w:val="Normal"/>
    <w:link w:val="CabealhoChar"/>
    <w:unhideWhenUsed/>
    <w:rsid w:val="00ED52FA"/>
    <w:pPr>
      <w:tabs>
        <w:tab w:val="center" w:pos="4252"/>
        <w:tab w:val="right" w:pos="8504"/>
      </w:tabs>
      <w:spacing w:after="0" w:line="240" w:lineRule="auto"/>
    </w:pPr>
  </w:style>
  <w:style w:type="character" w:customStyle="1" w:styleId="CabealhoChar">
    <w:name w:val="Cabeçalho Char"/>
    <w:basedOn w:val="Fontepargpadro"/>
    <w:link w:val="Cabealho"/>
    <w:rsid w:val="00ED52FA"/>
  </w:style>
  <w:style w:type="paragraph" w:styleId="Rodap">
    <w:name w:val="footer"/>
    <w:basedOn w:val="Normal"/>
    <w:link w:val="RodapChar"/>
    <w:uiPriority w:val="99"/>
    <w:unhideWhenUsed/>
    <w:rsid w:val="00ED52FA"/>
    <w:pPr>
      <w:tabs>
        <w:tab w:val="center" w:pos="4252"/>
        <w:tab w:val="right" w:pos="8504"/>
      </w:tabs>
      <w:spacing w:after="0" w:line="240" w:lineRule="auto"/>
    </w:pPr>
  </w:style>
  <w:style w:type="character" w:customStyle="1" w:styleId="RodapChar">
    <w:name w:val="Rodapé Char"/>
    <w:basedOn w:val="Fontepargpadro"/>
    <w:link w:val="Rodap"/>
    <w:uiPriority w:val="99"/>
    <w:rsid w:val="00ED5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1</Pages>
  <Words>103</Words>
  <Characters>562</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t21002</dc:creator>
  <cp:keywords/>
  <dc:description/>
  <cp:lastModifiedBy>Caio Avelar</cp:lastModifiedBy>
  <cp:revision>13</cp:revision>
  <cp:lastPrinted>2026-08-10T13:50:00Z</cp:lastPrinted>
  <dcterms:created xsi:type="dcterms:W3CDTF">2026-06-15T14:44:00Z</dcterms:created>
  <dcterms:modified xsi:type="dcterms:W3CDTF">2026-09-08T14:31:00Z</dcterms:modified>
</cp:coreProperties>
</file>