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B04C" w14:textId="6C15A5CD" w:rsidR="00A1112D" w:rsidRPr="00486397" w:rsidRDefault="00F24099" w:rsidP="00270D3F">
      <w:pPr>
        <w:spacing w:after="0"/>
        <w:ind w:left="-284" w:right="-1"/>
        <w:jc w:val="left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AO JUÍZO DA 5ª UPJ DAS VARAS CÍVEIS DA COMARCA DE GOIÂNIA/GOIÁS.</w:t>
      </w:r>
    </w:p>
    <w:p w14:paraId="7D77B830" w14:textId="77777777" w:rsidR="00F24099" w:rsidRPr="00486397" w:rsidRDefault="00F24099" w:rsidP="00F24099">
      <w:pPr>
        <w:spacing w:after="0"/>
        <w:ind w:left="-284"/>
        <w:jc w:val="both"/>
        <w:rPr>
          <w:rFonts w:ascii="Book Antiqua" w:hAnsi="Book Antiqua"/>
        </w:rPr>
      </w:pPr>
    </w:p>
    <w:p w14:paraId="5EA1EBE2" w14:textId="77777777" w:rsidR="00F24099" w:rsidRPr="00486397" w:rsidRDefault="00F24099" w:rsidP="00F24099">
      <w:pPr>
        <w:spacing w:after="0"/>
        <w:ind w:left="-284"/>
        <w:jc w:val="both"/>
        <w:rPr>
          <w:rFonts w:ascii="Book Antiqua" w:hAnsi="Book Antiqua"/>
        </w:rPr>
      </w:pPr>
    </w:p>
    <w:p w14:paraId="18E256FB" w14:textId="77777777" w:rsidR="00F24099" w:rsidRPr="00486397" w:rsidRDefault="00F24099" w:rsidP="00F24099">
      <w:pPr>
        <w:spacing w:after="0"/>
        <w:ind w:left="-284"/>
        <w:jc w:val="both"/>
        <w:rPr>
          <w:rFonts w:ascii="Book Antiqua" w:hAnsi="Book Antiqua"/>
        </w:rPr>
      </w:pPr>
    </w:p>
    <w:p w14:paraId="69E036B9" w14:textId="78A5D0F7" w:rsidR="00677764" w:rsidRPr="00486397" w:rsidRDefault="00F24099" w:rsidP="00F24099">
      <w:pPr>
        <w:spacing w:after="0"/>
        <w:ind w:left="-284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PROCESSO Nº 0172544-63.2010.8.09.0051</w:t>
      </w:r>
    </w:p>
    <w:p w14:paraId="35238010" w14:textId="77777777" w:rsidR="006F721A" w:rsidRPr="00486397" w:rsidRDefault="006F721A" w:rsidP="00F24099">
      <w:pPr>
        <w:spacing w:after="0"/>
        <w:ind w:left="-284"/>
        <w:jc w:val="both"/>
        <w:rPr>
          <w:rFonts w:ascii="Book Antiqua" w:hAnsi="Book Antiqua"/>
        </w:rPr>
      </w:pPr>
    </w:p>
    <w:p w14:paraId="15F42207" w14:textId="77777777" w:rsidR="00F24099" w:rsidRPr="00486397" w:rsidRDefault="00F24099" w:rsidP="00F24099">
      <w:pPr>
        <w:spacing w:after="0"/>
        <w:ind w:left="-284"/>
        <w:jc w:val="both"/>
        <w:rPr>
          <w:rFonts w:ascii="Book Antiqua" w:hAnsi="Book Antiqua"/>
        </w:rPr>
      </w:pPr>
    </w:p>
    <w:p w14:paraId="5A679BD4" w14:textId="77777777" w:rsidR="00E91FD3" w:rsidRPr="00486397" w:rsidRDefault="00E91FD3" w:rsidP="00F24099">
      <w:pPr>
        <w:spacing w:after="0"/>
        <w:ind w:left="-284"/>
        <w:jc w:val="both"/>
        <w:rPr>
          <w:rFonts w:ascii="Book Antiqua" w:hAnsi="Book Antiqua"/>
        </w:rPr>
      </w:pPr>
    </w:p>
    <w:p w14:paraId="505878FF" w14:textId="5CDA10D1" w:rsidR="00363D27" w:rsidRPr="00486397" w:rsidRDefault="008C6931" w:rsidP="004311C1"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CONDOMÍNIO DO EDIFÍCIO PEGASUS</w:t>
      </w:r>
      <w:r>
        <w:rPr>
          <w:rFonts w:ascii="Book Antiqua" w:hAnsi="Book Antiqua"/>
        </w:rPr>
        <w:t xml:space="preserve">, devidamente qualificado nestes autos, via de seus procuradores infra-assinados, vem perante Vossa Excelência, nos autos do </w:t>
      </w:r>
      <w:r>
        <w:rPr>
          <w:rFonts w:ascii="Book Antiqua" w:hAnsi="Book Antiqua"/>
          <w:b/>
          <w:bCs/>
        </w:rPr>
        <w:t xml:space="preserve">CUMPRIMENTO DE SENTENÇA</w:t>
      </w:r>
      <w:r>
        <w:rPr>
          <w:rFonts w:ascii="Book Antiqua" w:hAnsi="Book Antiqua"/>
        </w:rPr>
        <w:t xml:space="preserve"> movido em face de </w:t>
      </w:r>
      <w:r>
        <w:rPr>
          <w:rFonts w:ascii="Book Antiqua" w:hAnsi="Book Antiqua"/>
          <w:b/>
          <w:bCs/>
        </w:rPr>
        <w:t xml:space="preserve">ALISSON RODRIGUES DE OLIVEIRA E OUTRA</w:t>
      </w:r>
      <w:r>
        <w:rPr>
          <w:rFonts w:ascii="Book Antiqua" w:hAnsi="Book Antiqua"/>
        </w:rPr>
        <w:t xml:space="preserve">, igualmente qualificados, em resposta às intimações dos eventos 334 e 335, manifestar-se acerca da petição do evento 329 e do parecer ministerial do evento 331, o que faz nos termos a seguir.</w:t>
      </w:r>
    </w:p>
    <w:p w14:paraId="7872C282" w14:textId="77777777" w:rsidR="008C6931" w:rsidRPr="00486397" w:rsidRDefault="008C6931" w:rsidP="004311C1"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/>
        <w:jc w:val="left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I. DA SÍNTESE NECESSÁRIA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Por meio da decisão do evento 307, Vossa Excelência acolheu parcialmente a impugnação à avaliação apresentada pelos Executados no evento 302 e determinou a realização de nova avaliação do imóvel penhorado por Oficial de Justiça Avaliador. A nova diligência, portanto, foi determinada a pedido e no exclusivo interesse dos próprios Executados.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Ainda assim, foi o Exequente quem arcou com as custas de locomoção do Oficial de Justiça, conforme comprovante juntado no evento 314.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Ocorre que a diligência foi frustrada em duas oportunidades, conforme se extrai da certidão do evento 316: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2268"/>
        <w:jc w:val="both"/>
        <w:rPr>
          <w:rFonts w:ascii="Book Antiqua" w:hAnsi="Book Antiqua"/>
        </w:rPr>
      </w:pPr>
      <w:r>
        <w:rPr>
          <w:rFonts w:ascii="Book Antiqua" w:hAnsi="Book Antiqua"/>
          <w:i/>
          <w:iCs/>
          <w:sz w:val="22"/>
          <w:szCs w:val="22"/>
        </w:rPr>
        <w:t xml:space="preserve">“Certifico que, na data do dia 21/08/2026, às 17:00 horas, diligenciei nesta Capital para o endereço constante no mandado e DEIXEI DE PROCEDER a avaliação do bem indicado, tendo em vista que o imóvel se encontrava fechado.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2268"/>
        <w:jc w:val="both"/>
        <w:rPr>
          <w:rFonts w:ascii="Book Antiqua" w:hAnsi="Book Antiqua"/>
        </w:rPr>
      </w:pPr>
      <w:r>
        <w:rPr>
          <w:rFonts w:ascii="Book Antiqua" w:hAnsi="Book Antiqua"/>
          <w:i/>
          <w:iCs/>
          <w:sz w:val="22"/>
          <w:szCs w:val="22"/>
        </w:rPr>
        <w:t xml:space="preserve">Certifico que, na data do dia 25/08/2026, às 09:30 horas, diligenciei nesta Capital para o endereço constante no mandado e DEIXEI DE PROCEDER a avaliação do bem indicado, tendo em vista que o morador não permitiu a entrada desta oficiala de justiça nas dependências do condomínio, alegando que estava saindo no momento da diligência. Nada mais.”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Diante disso, o Exequente requereu, no evento 319, a manutenção da avaliação do evento 294, no valor de R$ 613.000,00 (seiscentos e treze mil reais).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Na decisão do evento 321, Vossa Excelência determinou a intimação dos Executados para, no prazo de 5 (cinco) dias, se manifestarem especificamente acerca da certidão do evento 316 e da petição do evento 319, sob pena de preclusão.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Em resposta, os Executados limitaram-se a requerer, no evento 329, a expedição de novo mandado de avaliação, comprometendo-se a “permanecer no imóvel a fim de que o mandado seja cumprido”. Nada mais disseram.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/>
        <w:jc w:val="left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II. DA AUSÊNCIA DE QUALQUER JUSTIFICATIVA PARA A OBSTRUÇÃO DA DILIGÊNCIA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Embora intimados expressamente para se manifestar sobre a certidão do evento 316, sob pena de preclusão, os Executados não apresentaram uma única linha de justificativa para o fato de o Oficial de Justiça ter sido impedido de cumprir a ordem judicial. Não impugnaram a certidão, que goza de fé pública, não negaram a recusa, não a atribuíram a terceiro e tampouco refutaram o caráter protelatório da conduta apontado pelo Exequente.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Ao contrário, ao se comprometerem a “permanecer no imóvel”, os próprios Executados confirmam que são eles que ocupam o bem penhorado e que, portanto, a eles cabia franquear o acesso do Oficial de Justiça.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 justificativa apresentada no momento da diligência, de que o morador “estava saindo”, não resiste a nenhuma análise. A avaliação de um imóvel demanda poucos minutos, e nada impedia que o ocupante permitisse a vistoria ou, ao menos, procurasse o Oficial de Justiça ou este Juízo para indicar data e horário para o cumprimento do mandado. Nada disso foi feito. O interesse dos Executados na nova avaliação somente reapareceu depois que o Exequente requereu a manutenção do laudo anterior.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Soma-se a isso o fato de que, na primeira tentativa, em 21/08/2026, o imóvel sequer foi encontrado aberto.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Trata-se de evidente comportamento contraditório. Foram os Executados que impugnaram a avaliação do evento 294 e pediram que o bem fosse novamente avaliado. Deferido o pedido, foram eles mesmos que impediram a sua realização. A conduta viola o dever de boa-fé processual (art. 5º do CPC), o dever de cooperação (art. 6º do CPC) e o dever de cumprir com exatidão as decisões judiciais, sem criar embaraços à sua efetivação (art. 77, IV, do CPC).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Não se pode perder de vista que este processo tramita desde 2010. Permitir que os Executados impugnem a avaliação, obstruam a diligência que eles próprios requereram e, depois, simplesmente peçam a renovação do ato, sem qualquer consequência, é premiar a protelação em detrimento da duração razoável do processo (art. 5º, LXXVIII, da Constituição Federal e arts. 4º e 139, II, do CPC).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Por essas razões, o Exequente mantém o pedido formulado no evento 319, para que seja homologada a avaliação do evento 294.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/>
        <w:jc w:val="left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III. DO ÔNUS DAS DESPESAS DE EVENTUAL NOVA DILIGÊNCIA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Caso Vossa Excelência entenda pela renovação da diligência, o Exequente não pode ser novamente penalizado, seja com mais um recolhimento de custas de locomoção, seja com a perda de tempo útil decorrente de uma nova diligência que somente se tornou necessária por conduta exclusiva dos Executados.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Nos termos do art. 82 do CPC, incumbe às partes prover as despesas dos atos que realizarem ou requererem no processo. A nova avaliação foi requerida pelos Executados, de modo que a eles cabia, desde o início, o adiantamento das despesas com a diligência.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Além disso, o art. 93 do CPC é expresso ao dispor que as despesas de atos cuja repetição for necessária ficarão a cargo da parte que, sem justo motivo, houver dado causa à repetição. É exatamente o caso dos autos.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Assim, eventual nova diligência deve ter as custas de locomoção recolhidas pelos Executados.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/>
        <w:jc w:val="left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IV. DA NECESSIDADE DE ADVERTÊNCIA E DE CONSEQUÊNCIA PRÉVIA PARA NOVA OBSTRUÇÃO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O compromisso assumido pelos Executados no evento 329 é unilateral e, por si só, não oferece qualquer garantia. Nada assegura que os Executados não voltarão a impedir o cumprimento do mandado, como já fizeram, com o único resultado de prolongar ainda mais o processo.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O art. 774, IV, do CPC considera atentatória à dignidade da justiça a conduta do executado que resiste injustificadamente às ordens judiciais, sujeitando-o à multa de até 20% (vinte por cento) do valor atualizado do débito, em proveito do exequente (art. 774, parágrafo único, do CPC). O art. 772, II, do CPC, por sua vez, autoriza o juiz a advertir o executado de que o seu procedimento constitui ato atentatório à dignidade da justiça.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Desse modo, caso seja determinada a renovação do ato, é indispensável que os Executados sejam expressamente advertidos de que nova recusa de acesso, ou nova ausência, importará a imediata homologação da avaliação do evento 294, sem prejuízo da aplicação da multa prevista no art. 774, parágrafo único, do CPC.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/>
        <w:jc w:val="left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V. DO QUESTIONAMENTO DO MINISTÉRIO PÚBLICO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Quanto aos questionamentos formulados pelo Ministério Público no evento 331, o Exequente reitera, conforme exposto no tópico II, a manutenção do pedido formulado no evento 319. Informa, ainda, que, caso seja determinada a renovação da diligência e o Exequente entenda necessário, entrará em contato com o Oficial de Justiça Avaliador para o devido acompanhamento.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/>
        <w:jc w:val="left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VI. DOS PEDIDOS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-284" w:firstLine="851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Diante do exposto, requer a Vossa Excelência: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425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a) a manutenção do pedido formulado no evento 319, com a homologação da avaliação do evento 294, no valor de R$ 613.000,00 (seiscentos e treze mil reais), e o regular prosseguimento do feito;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425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b) subsidiariamente, caso Vossa Excelência entenda pela renovação da diligência: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1134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b.1) que os Executados sejam intimados a recolher as custas de locomoção do Oficial de Justiça e a comprovar o pagamento nos autos, no prazo de 5 (cinco) dias, sob pena de homologação da avaliação do evento 294, nos termos dos arts. 82 e 93 do CPC;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1134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b.2) que os Executados sejam expressamente advertidos, nos termos do art. 772, II, do CPC, de que nova recusa de acesso ou nova ausência configurará ato atentatório à dignidade da justiça (art. 774, IV, do CPC), com a aplicação da multa de até 20% (vinte por cento) do valor atualizado do débito em favor do Exequente (art. 774, parágrafo único, do CPC);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>
      <w:pPr>
        <w:spacing w:after="0"/>
        <w:ind w:left="1134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b.3) que, frustrada novamente a diligência por fato imputável aos Executados, seja desde logo homologada a avaliação do evento 294, independentemente de nova intimação, reconhecendo-se a preclusão do direito dos Executados de impugná-la; ou, ainda subsidiariamente, que o Oficial de Justiça fique desde já autorizado a proceder ao arrombamento e à requisição de força policial, se necessário, por aplicação analógica do art. 846 do CPC, ficando consignado que, nessa hipótese, os Executados não poderão impugnar o novo laudo.</w:t>
      </w:r>
    </w:p>
    <w:p>
      <w:pPr>
        <w:spacing w:after="0"/>
        <w:ind w:left="-284" w:firstLine="851"/>
        <w:jc w:val="both"/>
        <w:rPr>
          <w:rFonts w:ascii="Book Antiqua" w:hAnsi="Book Antiqua"/>
        </w:rPr>
      </w:pPr>
    </w:p>
    <w:p w14:paraId="2EB5F848" w14:textId="77777777" w:rsidR="00F24099" w:rsidRPr="00486397" w:rsidRDefault="00F24099" w:rsidP="00105D1E">
      <w:pPr>
        <w:spacing w:after="0"/>
        <w:ind w:firstLine="567"/>
        <w:jc w:val="both"/>
        <w:rPr>
          <w:rFonts w:ascii="Book Antiqua" w:hAnsi="Book Antiqua"/>
        </w:rPr>
      </w:pPr>
      <w:r>
        <w:rPr>
          <w:rFonts w:ascii="Book Antiqua" w:hAnsi="Book Antiqua"/>
        </w:rPr>
        <w:t>Confia-se no deferimento.</w:t>
      </w:r>
    </w:p>
    <w:p w14:paraId="1602B04F" w14:textId="77777777" w:rsidR="00F24099" w:rsidRPr="00486397" w:rsidRDefault="00F24099" w:rsidP="00105D1E">
      <w:pPr>
        <w:spacing w:after="0"/>
        <w:ind w:firstLine="567"/>
        <w:jc w:val="both"/>
        <w:rPr>
          <w:rFonts w:ascii="Book Antiqua" w:hAnsi="Book Antiqua"/>
        </w:rPr>
      </w:pPr>
    </w:p>
    <w:p w14:paraId="00328B7D" w14:textId="2A9553FE" w:rsidR="00F24099" w:rsidRPr="00486397" w:rsidRDefault="00F24099" w:rsidP="00105D1E">
      <w:pPr>
        <w:spacing w:after="0"/>
        <w:ind w:firstLine="567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Goiânia, 1º de outubro de 2026.</w:t>
      </w:r>
    </w:p>
    <w:p w14:paraId="2E1DE426" w14:textId="77777777" w:rsidR="00F24099" w:rsidRPr="00486397" w:rsidRDefault="00F24099" w:rsidP="00F24099">
      <w:pPr>
        <w:spacing w:after="0"/>
        <w:ind w:firstLine="1134"/>
        <w:jc w:val="both"/>
        <w:rPr>
          <w:rFonts w:ascii="Book Antiqua" w:hAnsi="Book Antiqua"/>
        </w:rPr>
      </w:pPr>
    </w:p>
    <w:p w14:paraId="4BC63FF3" w14:textId="77777777" w:rsidR="00F24099" w:rsidRPr="00486397" w:rsidRDefault="00F24099" w:rsidP="00F24099">
      <w:pPr>
        <w:spacing w:after="0"/>
        <w:ind w:firstLine="1134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394"/>
      </w:tblGrid>
      <w:tr w:rsidR="00F24099" w:rsidRPr="00486397" w14:paraId="5A0A1C0F" w14:textId="77777777" w:rsidTr="005E27E3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8788" w:type="dxa"/>
              <w:tblInd w:w="-28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4394"/>
              <w:gridCol w:w="4394"/>
            </w:tblGrid>
            <w:tr>
              <w:tc>
                <w:tcPr>
                  <w:tcW w:w="4394" w:type="dxa"/>
                </w:tcPr>
                <w:p>
                  <w:pPr>
                    <w:spacing w:after="0" w:line="276" w:lineRule="auto"/>
                    <w:jc w:val="center"/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</w:rPr>
                    <w:t xml:space="preserve">Vanessa Lima Abdala Franco</w:t>
                  </w:r>
                </w:p>
                <w:p>
                  <w:pPr>
                    <w:spacing w:after="0" w:line="276" w:lineRule="auto"/>
                    <w:jc w:val="center"/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</w:rPr>
                    <w:t xml:space="preserve">OAB/GO nº 24.436</w:t>
                  </w:r>
                </w:p>
              </w:tc>
              <w:tc>
                <w:tcPr>
                  <w:tcW w:w="4394" w:type="dxa"/>
                </w:tcPr>
                <w:p>
                  <w:pPr>
                    <w:spacing w:after="0" w:line="276" w:lineRule="auto"/>
                    <w:jc w:val="center"/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</w:rPr>
                    <w:t xml:space="preserve">Núbia Barbosa Moura</w:t>
                  </w:r>
                </w:p>
                <w:p>
                  <w:pPr>
                    <w:spacing w:after="0" w:line="276" w:lineRule="auto"/>
                    <w:jc w:val="center"/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</w:rPr>
                    <w:t xml:space="preserve">OAB/GO nº 31.869</w:t>
                  </w:r>
                </w:p>
              </w:tc>
            </w:tr>
          </w:tbl>
          <w:p>
            <w:pPr>
              <w:spacing w:after="0" w:line="276" w:lineRule="auto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/>
            </w:r>
          </w:p>
          <w:p>
            <w:pPr>
              <w:spacing w:after="0" w:line="276" w:lineRule="auto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Renato Abdala Filho</w:t>
            </w:r>
          </w:p>
          <w:p>
            <w:pPr>
              <w:spacing w:after="0" w:line="276" w:lineRule="auto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OAB/GO nº 30.671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</w:tc>
      </w:tr>
    </w:tbl>
    <w:p w14:paraId="796B9166" w14:textId="77777777" w:rsidR="00F24099" w:rsidRPr="00486397" w:rsidRDefault="00F24099" w:rsidP="00F24099">
      <w:pPr>
        <w:spacing w:after="0"/>
        <w:ind w:left="-284" w:firstLine="851"/>
        <w:jc w:val="both"/>
        <w:rPr>
          <w:rFonts w:ascii="Book Antiqua" w:hAnsi="Book Antiqua"/>
        </w:rPr>
      </w:pPr>
    </w:p>
    <w:sectPr w:rsidR="00F24099" w:rsidRPr="00486397" w:rsidSect="00C33394">
      <w:headerReference w:type="default" r:id="rId7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2FF19" w14:textId="77777777" w:rsidR="000A4458" w:rsidRDefault="000A4458" w:rsidP="00ED52FA">
      <w:pPr>
        <w:spacing w:after="0" w:line="240" w:lineRule="auto"/>
      </w:pPr>
      <w:r>
        <w:separator/>
      </w:r>
    </w:p>
  </w:endnote>
  <w:endnote w:type="continuationSeparator" w:id="0">
    <w:p w14:paraId="34A17E39" w14:textId="77777777" w:rsidR="000A4458" w:rsidRDefault="000A4458" w:rsidP="00ED5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2A2B1" w14:textId="77777777" w:rsidR="000A4458" w:rsidRDefault="000A4458" w:rsidP="00ED52FA">
      <w:pPr>
        <w:spacing w:after="0" w:line="240" w:lineRule="auto"/>
      </w:pPr>
      <w:r>
        <w:separator/>
      </w:r>
    </w:p>
  </w:footnote>
  <w:footnote w:type="continuationSeparator" w:id="0">
    <w:p w14:paraId="0D43B274" w14:textId="77777777" w:rsidR="000A4458" w:rsidRDefault="000A4458" w:rsidP="00ED5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6759" w14:textId="23FF693D" w:rsidR="00ED52FA" w:rsidRPr="00ED52FA" w:rsidRDefault="00ED52FA">
    <w:pPr>
      <w:pStyle w:val="Cabealho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451FCC0" wp14:editId="33A9B0FC">
          <wp:simplePos x="0" y="0"/>
          <wp:positionH relativeFrom="column">
            <wp:posOffset>-1085643</wp:posOffset>
          </wp:positionH>
          <wp:positionV relativeFrom="paragraph">
            <wp:posOffset>-444955</wp:posOffset>
          </wp:positionV>
          <wp:extent cx="7558296" cy="10683238"/>
          <wp:effectExtent l="0" t="0" r="0" b="0"/>
          <wp:wrapNone/>
          <wp:docPr id="11358016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785855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296" cy="106832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7E96"/>
    <w:multiLevelType w:val="hybridMultilevel"/>
    <w:tmpl w:val="196CC8F4"/>
    <w:lvl w:ilvl="0" w:tplc="0416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957785D"/>
    <w:multiLevelType w:val="hybridMultilevel"/>
    <w:tmpl w:val="D314599C"/>
    <w:lvl w:ilvl="0" w:tplc="04160013">
      <w:start w:val="1"/>
      <w:numFmt w:val="upperRoman"/>
      <w:lvlText w:val="%1."/>
      <w:lvlJc w:val="righ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B7066EF"/>
    <w:multiLevelType w:val="hybridMultilevel"/>
    <w:tmpl w:val="71CADF4C"/>
    <w:lvl w:ilvl="0" w:tplc="0416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EE51DD7"/>
    <w:multiLevelType w:val="hybridMultilevel"/>
    <w:tmpl w:val="1538538A"/>
    <w:lvl w:ilvl="0" w:tplc="0416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6C4D0F5F"/>
    <w:multiLevelType w:val="hybridMultilevel"/>
    <w:tmpl w:val="F274D750"/>
    <w:lvl w:ilvl="0" w:tplc="04160013">
      <w:start w:val="1"/>
      <w:numFmt w:val="upperRoman"/>
      <w:lvlText w:val="%1."/>
      <w:lvlJc w:val="righ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7D381DB8"/>
    <w:multiLevelType w:val="hybridMultilevel"/>
    <w:tmpl w:val="AC16398A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17820923">
    <w:abstractNumId w:val="2"/>
  </w:num>
  <w:num w:numId="2" w16cid:durableId="2093620894">
    <w:abstractNumId w:val="3"/>
  </w:num>
  <w:num w:numId="3" w16cid:durableId="1354459614">
    <w:abstractNumId w:val="1"/>
  </w:num>
  <w:num w:numId="4" w16cid:durableId="604536173">
    <w:abstractNumId w:val="0"/>
  </w:num>
  <w:num w:numId="5" w16cid:durableId="1168786855">
    <w:abstractNumId w:val="4"/>
  </w:num>
  <w:num w:numId="6" w16cid:durableId="2088721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FA"/>
    <w:rsid w:val="00053F9A"/>
    <w:rsid w:val="00071CFF"/>
    <w:rsid w:val="00096797"/>
    <w:rsid w:val="000A4458"/>
    <w:rsid w:val="00105D1E"/>
    <w:rsid w:val="00147847"/>
    <w:rsid w:val="00194778"/>
    <w:rsid w:val="001A46A5"/>
    <w:rsid w:val="001D4B45"/>
    <w:rsid w:val="001F1EDC"/>
    <w:rsid w:val="00270D3F"/>
    <w:rsid w:val="002A2D11"/>
    <w:rsid w:val="002D3FDA"/>
    <w:rsid w:val="00363D27"/>
    <w:rsid w:val="00370DBD"/>
    <w:rsid w:val="004311C1"/>
    <w:rsid w:val="00434FAB"/>
    <w:rsid w:val="004517C9"/>
    <w:rsid w:val="00486397"/>
    <w:rsid w:val="004F7076"/>
    <w:rsid w:val="00583EF6"/>
    <w:rsid w:val="00677764"/>
    <w:rsid w:val="006F3DB0"/>
    <w:rsid w:val="006F6A27"/>
    <w:rsid w:val="006F721A"/>
    <w:rsid w:val="007251C5"/>
    <w:rsid w:val="00754798"/>
    <w:rsid w:val="007A1143"/>
    <w:rsid w:val="007C5B67"/>
    <w:rsid w:val="008028E7"/>
    <w:rsid w:val="008161E1"/>
    <w:rsid w:val="008C6931"/>
    <w:rsid w:val="00994F66"/>
    <w:rsid w:val="009D7348"/>
    <w:rsid w:val="00A1112D"/>
    <w:rsid w:val="00A24159"/>
    <w:rsid w:val="00B77842"/>
    <w:rsid w:val="00C02728"/>
    <w:rsid w:val="00C12903"/>
    <w:rsid w:val="00C33394"/>
    <w:rsid w:val="00C44D51"/>
    <w:rsid w:val="00CA6FF9"/>
    <w:rsid w:val="00CD082A"/>
    <w:rsid w:val="00CE22FF"/>
    <w:rsid w:val="00CE45B3"/>
    <w:rsid w:val="00D2070C"/>
    <w:rsid w:val="00D6690C"/>
    <w:rsid w:val="00DB74BD"/>
    <w:rsid w:val="00E33CDB"/>
    <w:rsid w:val="00E65C6C"/>
    <w:rsid w:val="00E91FD3"/>
    <w:rsid w:val="00EC4209"/>
    <w:rsid w:val="00ED52FA"/>
    <w:rsid w:val="00F12577"/>
    <w:rsid w:val="00F2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A0608E"/>
  <w15:chartTrackingRefBased/>
  <w15:docId w15:val="{2932BFE3-374B-304A-9AAD-24CE0501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5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52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5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52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5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5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52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52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52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52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52F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ED52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D52FA"/>
  </w:style>
  <w:style w:type="paragraph" w:styleId="Rodap">
    <w:name w:val="footer"/>
    <w:basedOn w:val="Normal"/>
    <w:link w:val="RodapChar"/>
    <w:uiPriority w:val="99"/>
    <w:unhideWhenUsed/>
    <w:rsid w:val="00ED52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5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103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t21002</dc:creator>
  <cp:keywords/>
  <dc:description/>
  <cp:lastModifiedBy>Caio Avelar</cp:lastModifiedBy>
  <cp:revision>13</cp:revision>
  <cp:lastPrinted>2026-08-10T13:50:00Z</cp:lastPrinted>
  <dcterms:created xsi:type="dcterms:W3CDTF">2026-06-15T14:44:00Z</dcterms:created>
  <dcterms:modified xsi:type="dcterms:W3CDTF">2026-09-08T14:31:00Z</dcterms:modified>
</cp:coreProperties>
</file>