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480"/>
        <w:ind w:hanging="357" w:left="357" w:right="0"/>
      </w:pPr>
      <w:r>
        <w:rPr/>
        <w:t>O Negócio</w:t>
      </w:r>
    </w:p>
    <w:p>
      <w:pPr>
        <w:pStyle w:val="style24"/>
        <w:numPr>
          <w:ilvl w:val="0"/>
          <w:numId w:val="2"/>
        </w:numPr>
      </w:pPr>
      <w:r>
        <w:rPr>
          <w:b/>
        </w:rPr>
        <w:t>Visão Míope</w:t>
      </w:r>
      <w:r>
        <w:rPr/>
        <w:t>: Venda de sistemas de irrigação</w:t>
      </w:r>
    </w:p>
    <w:p>
      <w:pPr>
        <w:pStyle w:val="style24"/>
        <w:numPr>
          <w:ilvl w:val="0"/>
          <w:numId w:val="2"/>
        </w:numPr>
      </w:pPr>
      <w:r>
        <w:rPr>
          <w:b/>
        </w:rPr>
        <w:t>Visão Estratégica</w:t>
      </w:r>
      <w:r>
        <w:rPr/>
        <w:t>: Natureza e Bem-estar.</w:t>
      </w:r>
    </w:p>
    <w:p>
      <w:pPr>
        <w:pStyle w:val="style1"/>
        <w:numPr>
          <w:ilvl w:val="0"/>
          <w:numId w:val="1"/>
        </w:numPr>
        <w:ind w:hanging="357" w:left="357" w:right="0"/>
      </w:pPr>
      <w:r>
        <w:rPr/>
        <w:t>Missão</w:t>
      </w:r>
    </w:p>
    <w:p>
      <w:pPr>
        <w:pStyle w:val="style0"/>
      </w:pPr>
      <w:r>
        <w:rPr/>
        <w:t>Desenvolver, produzir e Disponibilizar soluções inovadoras e sustentáveis de jardinagem para o mercado consumidor seguindo as melhores práticas de gestão de recursos ambientais.</w:t>
      </w:r>
    </w:p>
    <w:p>
      <w:pPr>
        <w:pStyle w:val="style1"/>
        <w:numPr>
          <w:ilvl w:val="0"/>
          <w:numId w:val="1"/>
        </w:numPr>
        <w:ind w:hanging="357" w:left="357" w:right="0"/>
      </w:pPr>
      <w:r>
        <w:rPr/>
        <w:t>Visão</w:t>
      </w:r>
    </w:p>
    <w:p>
      <w:pPr>
        <w:pStyle w:val="style0"/>
      </w:pPr>
      <w:r>
        <w:rPr/>
        <w:t>Tornar-se, em cinco anos, a maior empresa de soluções de jardinagem nos EUA, União Europeia, China e Japão, e consolidar-se nos mercados emergentes da América Latina atingindo ao final desse período lucro de U$ 1,5 bilhões.</w:t>
      </w:r>
    </w:p>
    <w:p>
      <w:pPr>
        <w:pStyle w:val="style1"/>
        <w:numPr>
          <w:ilvl w:val="0"/>
          <w:numId w:val="1"/>
        </w:numPr>
        <w:ind w:hanging="357" w:left="357" w:right="0"/>
      </w:pPr>
      <w:r>
        <w:rPr/>
        <w:t xml:space="preserve"> </w:t>
      </w:r>
      <w:r>
        <w:rPr/>
        <w:t>Modelo PEST</w:t>
      </w:r>
    </w:p>
    <w:p>
      <w:pPr>
        <w:pStyle w:val="style1"/>
        <w:numPr>
          <w:ilvl w:val="0"/>
          <w:numId w:val="1"/>
        </w:numPr>
        <w:ind w:hanging="357" w:left="357" w:right="0"/>
      </w:pPr>
      <w:r>
        <w:rPr/>
        <w:t>Análise Estrutural da Indústria (AEI)</w:t>
      </w:r>
    </w:p>
    <w:p>
      <w:pPr>
        <w:pStyle w:val="style2"/>
        <w:numPr>
          <w:ilvl w:val="1"/>
          <w:numId w:val="1"/>
        </w:numPr>
      </w:pPr>
      <w:r>
        <w:rPr/>
        <w:t>Matriz OT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tblInd w:type="dxa" w:w="-108"/>
      </w:tblPr>
      <w:tblGrid>
        <w:gridCol w:w="4322"/>
        <w:gridCol w:w="4322"/>
      </w:tblGrid>
      <w:tr>
        <w:trPr>
          <w:tblHeader w:val="true"/>
          <w:cantSplit w:val="true"/>
        </w:trPr>
        <w:tc>
          <w:tcPr>
            <w:tcW w:type="dxa" w:w="432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</w:rPr>
              <w:t>Oportunidades</w:t>
            </w:r>
          </w:p>
        </w:tc>
        <w:tc>
          <w:tcPr>
            <w:tcW w:type="dxa" w:w="432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</w:rPr>
              <w:t>Ameaças</w:t>
            </w:r>
          </w:p>
        </w:tc>
      </w:tr>
      <w:tr>
        <w:trPr>
          <w:cantSplit w:val="true"/>
        </w:trPr>
        <w:tc>
          <w:tcPr>
            <w:tcW w:type="dxa" w:w="432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O1 – Maior consciência ambiental da sociedade</w:t>
            </w:r>
          </w:p>
        </w:tc>
        <w:tc>
          <w:tcPr>
            <w:tcW w:type="dxa" w:w="432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T1 – Certos lugares estão restringindo o uso d'água. Ex: Water Law – Emirados Árabes, Colorado State Water Law,Loi sur l'efficacité  énergétique d'Ottawa, preocupação com uso de água durante as Olimpíadas de 2008</w:t>
            </w:r>
          </w:p>
        </w:tc>
      </w:tr>
      <w:tr>
        <w:trPr>
          <w:cantSplit w:val="true"/>
        </w:trPr>
        <w:tc>
          <w:tcPr>
            <w:tcW w:type="dxa" w:w="432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O2 – Atividade de P &amp; D reaproveitando Tecnologias já existentes (pássaro na mão, produtos a frente do seu tempo).</w:t>
            </w:r>
          </w:p>
        </w:tc>
        <w:tc>
          <w:tcPr>
            <w:tcW w:type="dxa" w:w="432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T2 – Crise global reduzindo a quantidade e disposição econômica de consumidores.</w:t>
            </w:r>
          </w:p>
        </w:tc>
      </w:tr>
      <w:tr>
        <w:trPr>
          <w:cantSplit w:val="true"/>
        </w:trPr>
        <w:tc>
          <w:tcPr>
            <w:tcW w:type="dxa" w:w="432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32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T3 – Concorrentes entrando em mercados onde eu já estou posicionado ou onde pretendo me posicionar com custos mais baixos de produção como: </w:t>
            </w:r>
          </w:p>
          <w:p>
            <w:pPr>
              <w:pStyle w:val="style0"/>
            </w:pPr>
            <w:r>
              <w:rPr/>
              <w:t>BaoDing HuaYu Irrigation Technology (Chineza com venda para EUA, Brasil, México, Argentina e Japão)</w:t>
            </w:r>
          </w:p>
          <w:p>
            <w:pPr>
              <w:pStyle w:val="style0"/>
            </w:pPr>
            <w:r>
              <w:rPr/>
              <w:t>Jain (Indiana com 27 fábricas espalhadas pelo mundo inclusive EUA, Brasil Espanha, Inglaterra e Chile)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57" w:left="357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roid Sans Fallback" w:hAnsi="Calibri"/>
      <w:color w:val="auto"/>
      <w:sz w:val="22"/>
      <w:szCs w:val="22"/>
      <w:lang w:bidi="ar-SA" w:eastAsia="en-US" w:val="pt-BR"/>
    </w:rPr>
  </w:style>
  <w:style w:styleId="style1" w:type="paragraph">
    <w:name w:val="Título 1"/>
    <w:basedOn w:val="style0"/>
    <w:next w:val="style20"/>
    <w:pPr>
      <w:keepNext/>
      <w:keepLines/>
      <w:numPr>
        <w:ilvl w:val="0"/>
        <w:numId w:val="1"/>
      </w:numPr>
      <w:spacing w:after="0" w:before="480"/>
      <w:ind w:hanging="357" w:left="357" w:right="0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Título 2"/>
    <w:basedOn w:val="style0"/>
    <w:next w:val="style20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Título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ListLabel 1"/>
    <w:next w:val="style18"/>
    <w:rPr>
      <w:rFonts w:cs="Courier New"/>
    </w:rPr>
  </w:style>
  <w:style w:styleId="style19" w:type="paragraph">
    <w:name w:val="Título"/>
    <w:basedOn w:val="style0"/>
    <w:next w:val="style20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0" w:type="paragraph">
    <w:name w:val="Corpo de texto"/>
    <w:basedOn w:val="style0"/>
    <w:next w:val="style20"/>
    <w:pPr>
      <w:spacing w:after="120" w:before="0"/>
    </w:pPr>
    <w:rPr/>
  </w:style>
  <w:style w:styleId="style21" w:type="paragraph">
    <w:name w:val="Lista"/>
    <w:basedOn w:val="style20"/>
    <w:next w:val="style21"/>
    <w:pPr/>
    <w:rPr>
      <w:rFonts w:cs="Lohit Hindi"/>
    </w:rPr>
  </w:style>
  <w:style w:styleId="style22" w:type="paragraph">
    <w:name w:val="Legenda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LibreOffice/3.4$Linux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2012-04-03T17:41:00.00Z</dcterms:created>
  <dc:creator>avelino</dc:creator>
  <cp:lastModifiedBy>avelino</cp:lastModifiedBy>
  <dcterms:modified xsi:type="dcterms:W3CDTF">2012-04-03T18:00:00.00Z</dcterms:modified>
  <cp:revision>5</cp:revision>
</cp:coreProperties>
</file>