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6B7280"/>
          <w:sz w:val="24"/>
          <w:szCs w:val="24"/>
        </w:rPr>
        <w:t xml:space="preserve">PORTAFOLIO DE TÍTULO — KANCHA</w:t>
      </w:r>
    </w:p>
    <w:p>
      <w:pPr>
        <w:spacing w:after="60" w:before="120"/>
        <w:jc w:val="center"/>
      </w:pPr>
      <w:r>
        <w:rPr>
          <w:color w:val="22333B"/>
          <w:sz w:val="28"/>
          <w:szCs w:val="28"/>
        </w:rPr>
        <w:t xml:space="preserve">Documento 01 / 10</w:t>
      </w:r>
    </w:p>
    <w:p>
      <w:pPr>
        <w:spacing w:after="200" w:before="0"/>
        <w:jc w:val="center"/>
      </w:pPr>
      <w:r>
        <w:rPr>
          <w:b/>
          <w:bCs/>
          <w:color w:val="1F6F5C"/>
          <w:sz w:val="40"/>
          <w:szCs w:val="40"/>
        </w:rPr>
        <w:t xml:space="preserve">Análisis del Caso</w:t>
      </w:r>
    </w:p>
    <w:p>
      <w:pPr>
        <w:spacing w:after="400"/>
        <w:jc w:val="center"/>
      </w:pPr>
      <w:r>
        <w:rPr>
          <w:i/>
          <w:iCs/>
          <w:color w:val="6B7280"/>
          <w:sz w:val="22"/>
          <w:szCs w:val="22"/>
        </w:rPr>
        <w:t xml:space="preserve">Contextualización del problema y la oportunidad</w:t>
      </w:r>
    </w:p>
    <w:p>
      <w:pPr>
        <w:spacing w:after="60"/>
        <w:jc w:val="center"/>
      </w:pPr>
      <w:r>
        <w:rPr>
          <w:sz w:val="20"/>
          <w:szCs w:val="20"/>
        </w:rPr>
        <w:t xml:space="preserve">Estudiante: Lukas Guerrero  |  Ingeniería en Informática  |  Sede Plaza Vespucio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Metodología: Scrumban  |  Fase 1  |  Agosto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Análisis del Caso</w:t>
      </w:r>
    </w:p>
    <w:p>
      <w:pPr>
        <w:spacing w:after="160" w:line="276"/>
      </w:pPr>
      <w:r>
        <w:t xml:space="preserve">Proyecto APT: Kancha | Metodología: Scrumban | Fase 1</w:t>
      </w:r>
    </w:p>
    <w:p>
      <w:pPr>
        <w:pStyle w:val="Heading2"/>
        <w:spacing w:after="150" w:before="300"/>
      </w:pPr>
      <w:r>
        <w:t xml:space="preserve">1.1 Contexto</w:t>
      </w:r>
    </w:p>
    <w:p>
      <w:pPr>
        <w:spacing w:after="160" w:line="276"/>
      </w:pPr>
      <w:r>
        <w:t xml:space="preserve">El deporte amateur (fútbol, básquetbol, vóleibol, entre otros) es una actividad social muy extendida en la comuna de La Florida, Región Metropolitana. Grupos de amigos, compañeros de trabajo o vecinos organizan partidos de forma recurrente, ya sea en canchas públicas administradas por la municipalidad o en recintos privados que arriendan sus instalaciones por hora.</w:t>
      </w:r>
    </w:p>
    <w:p>
      <w:pPr>
        <w:spacing w:after="160" w:line="276"/>
      </w:pPr>
      <w:r>
        <w:t xml:space="preserve">La organización de estos encuentros depende casi por completo de coordinación informal (grupos de WhatsApp, listas manuales), lo que los hace muy vulnerables a la inasistencia de última hora.</w:t>
      </w:r>
    </w:p>
    <w:p>
      <w:pPr>
        <w:pStyle w:val="Heading2"/>
        <w:spacing w:after="150" w:before="300"/>
      </w:pPr>
      <w:r>
        <w:t xml:space="preserve">1.2 Problema central</w:t>
      </w:r>
    </w:p>
    <w:p>
      <w:pPr>
        <w:spacing w:after="160" w:line="276"/>
      </w:pPr>
      <w:r>
        <w:t xml:space="preserve">El problema identificado es el fenómeno conocido coloquialmente como "falta uno": la cancelación o ausencia de jugadores en las horas previas al partido, desarticulando la actividad programada.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3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6F5C"/>
                <w:sz w:val="20"/>
                <w:szCs w:val="20"/>
              </w:rPr>
              <w:t xml:space="preserve">Definición del problema</w:t>
            </w:r>
          </w:p>
          <w:p>
            <w:r>
              <w:rPr>
                <w:sz w:val="19"/>
                <w:szCs w:val="19"/>
              </w:rPr>
              <w:t xml:space="preserve">Como deportista amateur, no existe hoy un canal formal para completar cupos de un partido a punto de comenzar, ni un mecanismo confiable que garantice el compromiso de quienes confirman su asistencia.</w:t>
            </w:r>
          </w:p>
        </w:tc>
      </w:tr>
    </w:tbl>
    <w:p>
      <w:pPr>
        <w:spacing w:before="120"/>
      </w:pPr>
    </w:p>
    <w:p>
      <w:pPr>
        <w:pStyle w:val="Heading2"/>
        <w:spacing w:after="150" w:before="300"/>
      </w:pPr>
      <w:r>
        <w:t xml:space="preserve">1.3 Causas raíz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Ausencia de un canal formal para encontrar jugadores suplentes cercanos en tiempo real.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Nula trazabilidad de reputación o compromiso de los jugadores (sin consecuencias por no asistir).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Falta de un mecanismo de pago que distribuya el costo del arriendo y proteja al organizador ante deserciones.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Dispersión de la información: los partidos con cupos disponibles no son visibles para quienes buscan jugar.</w:t>
      </w:r>
    </w:p>
    <w:p>
      <w:pPr>
        <w:pStyle w:val="Heading2"/>
        <w:spacing w:after="150" w:before="300"/>
      </w:pPr>
      <w:r>
        <w:t xml:space="preserve">1.4 Consecuencias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Impactado</w:t>
            </w:r>
          </w:p>
        </w:tc>
        <w:tc>
          <w:tcPr>
            <w:tcW w:type="dxa" w:w="655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Consecuencia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Recintos deportivos privados</w:t>
            </w:r>
          </w:p>
        </w:tc>
        <w:tc>
          <w:tcPr>
            <w:tcW w:type="dxa" w:w="65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Pérdidas económicas por reservas incompletas o canceladas a último momento.</w:t>
            </w:r>
          </w:p>
        </w:tc>
      </w:tr>
      <w:tr>
        <w:tc>
          <w:tcPr>
            <w:tcW w:type="dxa" w:w="28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Organizadores de partido</w:t>
            </w:r>
          </w:p>
        </w:tc>
        <w:tc>
          <w:tcPr>
            <w:tcW w:type="dxa" w:w="65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Sobrecarga de coordinación manual y frustración ante la falta de compromiso.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Agentes libres (jugadores sin equipo)</w:t>
            </w:r>
          </w:p>
        </w:tc>
        <w:tc>
          <w:tcPr>
            <w:tcW w:type="dxa" w:w="65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Barrera de entrada: quieren jugar pero no tienen grupo fijo ni forma de sumarse a partidos cercanos.</w:t>
            </w:r>
          </w:p>
        </w:tc>
      </w:tr>
      <w:tr>
        <w:tc>
          <w:tcPr>
            <w:tcW w:type="dxa" w:w="28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Comunidad deportiva en general</w:t>
            </w:r>
          </w:p>
        </w:tc>
        <w:tc>
          <w:tcPr>
            <w:tcW w:type="dxa" w:w="65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Desincentivo a la práctica deportiva regular; reducción de actividad física comunitaria.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1.5 Propuesta de solución</w:t>
      </w:r>
    </w:p>
    <w:p>
      <w:pPr>
        <w:spacing w:after="160" w:line="276"/>
      </w:pPr>
      <w:r>
        <w:t xml:space="preserve">Se propone Kancha, una plataforma web/móvil geolocalizada tipo red social y marketplace que conecta agentes libres con partidos que necesitan completar cupos, mediante un mapa interactivo en tiempo real.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50"/>
      </w:tblGrid>
      <w:tr>
        <w:trPr>
          <w:tblHeader/>
        </w:trPr>
        <w:tc>
          <w:tcPr>
            <w:tcW w:type="dxa" w:w="22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8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35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 que resuelve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Mapa geolocalizado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Pines de partidos con cupos disponibles, filtrables por disciplina, horario y radio.</w:t>
            </w:r>
          </w:p>
        </w:tc>
        <w:tc>
          <w:tcPr>
            <w:tcW w:type="dxa" w:w="3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Dispersión de información</w:t>
            </w:r>
          </w:p>
        </w:tc>
      </w:tr>
      <w:tr>
        <w:tc>
          <w:tcPr>
            <w:tcW w:type="dxa" w:w="2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Sistema de Honor</w:t>
            </w:r>
          </w:p>
        </w:tc>
        <w:tc>
          <w:tcPr>
            <w:tcW w:type="dxa" w:w="38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Perfiles tipo carta de jugador con reseñas y calificaciones mutuas post-partido.</w:t>
            </w:r>
          </w:p>
        </w:tc>
        <w:tc>
          <w:tcPr>
            <w:tcW w:type="dxa" w:w="33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Falta de trazabilidad de compromiso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Pago fraccionado</w:t>
            </w:r>
          </w:p>
        </w:tc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Cobro individual por cupo con distribución automática del costo del arriendo.</w:t>
            </w:r>
          </w:p>
        </w:tc>
        <w:tc>
          <w:tcPr>
            <w:tcW w:type="dxa" w:w="3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Barrera económica individual</w:t>
            </w:r>
          </w:p>
        </w:tc>
      </w:tr>
      <w:tr>
        <w:tc>
          <w:tcPr>
            <w:tcW w:type="dxa" w:w="22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Retención por deserción</w:t>
            </w:r>
          </w:p>
        </w:tc>
        <w:tc>
          <w:tcPr>
            <w:tcW w:type="dxa" w:w="38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Porcentaje retenido a quienes cancelen dentro de la ventana crítica (&lt; 12 h).</w:t>
            </w:r>
          </w:p>
        </w:tc>
        <w:tc>
          <w:tcPr>
            <w:tcW w:type="dxa" w:w="33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Inasistencia de último momento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1.6 Alcance del MVP</w:t>
      </w:r>
    </w:p>
    <w:p>
      <w:pPr>
        <w:spacing w:after="100"/>
      </w:pPr>
      <w:r>
        <w:rPr>
          <w:b/>
          <w:bCs/>
        </w:rPr>
        <w:t xml:space="preserve">Ubicación piloto: </w:t>
      </w:r>
      <w:r>
        <w:t xml:space="preserve">Comuna de La Florida, Región Metropolitana, Chile</w:t>
      </w:r>
    </w:p>
    <w:p>
      <w:pPr>
        <w:spacing w:after="100"/>
      </w:pPr>
      <w:r>
        <w:rPr>
          <w:b/>
          <w:bCs/>
        </w:rPr>
        <w:t xml:space="preserve">Usuarios objetivo: </w:t>
      </w:r>
      <w:r>
        <w:t xml:space="preserve">Deportistas amateurs (agentes libres), organizadores de partidos, recintos deportivos</w:t>
      </w:r>
    </w:p>
    <w:p>
      <w:pPr>
        <w:spacing w:after="100"/>
      </w:pPr>
      <w:r>
        <w:rPr>
          <w:b/>
          <w:bCs/>
        </w:rPr>
        <w:t xml:space="preserve">Disciplinas iniciales: </w:t>
      </w:r>
      <w:r>
        <w:t xml:space="preserve">Fútbol (fútbol 5 y 7), con arquitectura extensible a otras disciplinas</w:t>
      </w:r>
    </w:p>
    <w:p>
      <w:pPr>
        <w:spacing w:after="100"/>
      </w:pPr>
      <w:r>
        <w:rPr>
          <w:b/>
          <w:bCs/>
        </w:rPr>
        <w:t xml:space="preserve">Periodo de desarrollo: </w:t>
      </w:r>
      <w:r>
        <w:t xml:space="preserve">18 semanas (Fase 1, 2 y 3 del Portafolio de Título)</w:t>
      </w:r>
    </w:p>
    <w:p>
      <w:pPr>
        <w:spacing w:after="100"/>
      </w:pPr>
      <w:r>
        <w:rPr>
          <w:b/>
          <w:bCs/>
        </w:rPr>
        <w:t xml:space="preserve">Fuera del MVP: </w:t>
      </w:r>
      <w:r>
        <w:t xml:space="preserve">Ligas/torneos formales, transmisiones en vivo, expansión geográfica</w:t>
      </w:r>
    </w:p>
    <w:p>
      <w:pPr>
        <w:spacing w:before="200"/>
      </w:pPr>
    </w:p>
    <w:p>
      <w:pPr>
        <w:pStyle w:val="Heading2"/>
        <w:spacing w:after="150" w:before="300"/>
      </w:pPr>
      <w:r>
        <w:t xml:space="preserve">1.7 Objetivos de negocio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50"/>
      </w:tblGrid>
      <w:tr>
        <w:trPr>
          <w:tblHeader/>
        </w:trPr>
        <w:tc>
          <w:tcPr>
            <w:tcW w:type="dxa" w:w="440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4950"/>
            <w:shd w:fill="1F6F5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 de éxito (referencial)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Reducir la tasa de cancelación de partidos por falta de jugadores en La Florida</w:t>
            </w:r>
          </w:p>
        </w:tc>
        <w:tc>
          <w:tcPr>
            <w:tcW w:type="dxa" w:w="4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Disminución del 30% en cancelaciones durante el periodo piloto</w:t>
            </w:r>
          </w:p>
        </w:tc>
      </w:tr>
      <w:tr>
        <w:tc>
          <w:tcPr>
            <w:tcW w:type="dxa" w:w="44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Generar un flujo de ingresos por comisiones de transacción</w:t>
            </w:r>
          </w:p>
        </w:tc>
        <w:tc>
          <w:tcPr>
            <w:tcW w:type="dxa" w:w="49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Comisión promedio del 8–10% por reserva gestionada en la plataforma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Construir una comunidad activa con alta reputación</w:t>
            </w:r>
          </w:p>
        </w:tc>
        <w:tc>
          <w:tcPr>
            <w:tcW w:type="dxa" w:w="4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80%+ de usuarios con al menos una calificación recibida al cierre del MVP</w:t>
            </w:r>
          </w:p>
        </w:tc>
      </w:tr>
      <w:tr>
        <w:tc>
          <w:tcPr>
            <w:tcW w:type="dxa" w:w="440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Validar el modelo de negocio para escalar geográficamente</w:t>
            </w:r>
          </w:p>
        </w:tc>
        <w:tc>
          <w:tcPr>
            <w:tcW w:type="dxa" w:w="4950"/>
            <w:shd w:fill="F2F0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333B"/>
                <w:sz w:val="18"/>
                <w:szCs w:val="18"/>
              </w:rPr>
              <w:t xml:space="preserve">Indicadores de retención y satisfacción positivos en la comunidad piloto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Kancha — Análisis del Caso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33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5C" w:sz="6" w:space="4"/>
      </w:pBdr>
      <w:spacing w:after="200" w:before="400"/>
    </w:pPr>
    <w:rPr>
      <w:rFonts w:ascii="Calibri" w:cs="Calibri" w:eastAsia="Calibri" w:hAnsi="Calibri"/>
      <w:b/>
      <w:bCs/>
      <w:color w:val="1F6F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2333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Calibri" w:cs="Calibri" w:eastAsia="Calibri" w:hAnsi="Calibri"/>
      <w:b/>
      <w:bCs/>
      <w:i/>
      <w:iCs/>
      <w:color w:val="1F6F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2026-08-29T19:57:55.114Z</dcterms:created>
  <dcterms:modified xsi:type="dcterms:W3CDTF">2026-08-29T19:57:55.131Z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