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6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5"/>
      </w:tblGrid>
      <w:tr w:rsidR="00F24A5B" w:rsidRPr="00F24A5B" w:rsidTr="00F24A5B">
        <w:tc>
          <w:tcPr>
            <w:tcW w:w="5000" w:type="pct"/>
            <w:shd w:val="clear" w:color="auto" w:fill="FFFFFF"/>
            <w:vAlign w:val="center"/>
            <w:hideMark/>
          </w:tcPr>
          <w:p w:rsidR="00F24A5B" w:rsidRDefault="00F24A5B" w:rsidP="00F24A5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z w:val="28"/>
                <w:szCs w:val="28"/>
                <w:lang w:eastAsia="ru-RU"/>
              </w:rPr>
            </w:pPr>
            <w:r w:rsidRPr="00F24A5B">
              <w:rPr>
                <w:rFonts w:ascii="Tahoma" w:eastAsia="Times New Roman" w:hAnsi="Tahoma" w:cs="Tahoma"/>
                <w:color w:val="333333"/>
                <w:sz w:val="28"/>
                <w:szCs w:val="28"/>
                <w:lang w:eastAsia="ru-RU"/>
              </w:rPr>
              <w:t>Сокращения, используемые при морских перевозках</w:t>
            </w:r>
          </w:p>
          <w:p w:rsidR="00F24A5B" w:rsidRPr="00F24A5B" w:rsidRDefault="00F24A5B" w:rsidP="00F24A5B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sz w:val="28"/>
                <w:szCs w:val="28"/>
                <w:lang w:eastAsia="ru-RU"/>
              </w:rPr>
            </w:pPr>
          </w:p>
        </w:tc>
      </w:tr>
    </w:tbl>
    <w:p w:rsidR="00F24A5B" w:rsidRPr="00F24A5B" w:rsidRDefault="00F24A5B" w:rsidP="00F24A5B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1066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5"/>
      </w:tblGrid>
      <w:tr w:rsidR="00F24A5B" w:rsidRPr="00F24A5B" w:rsidTr="00F24A5B">
        <w:tc>
          <w:tcPr>
            <w:tcW w:w="0" w:type="auto"/>
            <w:shd w:val="clear" w:color="auto" w:fill="FFFFFF"/>
            <w:hideMark/>
          </w:tcPr>
          <w:p w:rsidR="00F24A5B" w:rsidRPr="00F24A5B" w:rsidRDefault="00F24A5B" w:rsidP="00F24A5B">
            <w:pPr>
              <w:spacing w:after="0" w:line="240" w:lineRule="atLeast"/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</w:pP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AI</w:t>
            </w:r>
            <w:r w:rsidR="002270BA" w:rsidRP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C70352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–</w:t>
            </w:r>
            <w:r w:rsidR="002270BA" w:rsidRP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C70352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>ALL</w:t>
            </w:r>
            <w:r w:rsidR="00C70352" w:rsidRPr="00C70352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C70352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>INCLUSIVE</w:t>
            </w:r>
            <w:r w:rsidR="00C70352" w:rsidRPr="00C70352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«Все включено» – означает, что стоимость перевозки включает все дополнительные сборы, предусмотренные условиями перевозки.</w:t>
            </w:r>
            <w:r w:rsidR="002270BA" w:rsidRPr="002270BA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Например, если речь идет о фрахт на условиях CY/CY, это означает, что в ставку, кроме фрахта, погрузки и выгрузки, также включены все сопутствующие расходы, такие как BAF, CAF и </w:t>
            </w:r>
            <w:r w:rsidR="002270BA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некоторые другие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B/L</w:t>
            </w:r>
            <w:r w:rsidR="002270BA" w:rsidRP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BILL OF LADING</w:t>
            </w:r>
            <w:r w:rsidR="002270BA" w:rsidRP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Коносамент – договор морской перевозки, документ, подтверждающий факт принятия груза перевозчиком к морской перевозке и обязательство передать его грузополучателю в порту назначения, ответственность перед перевозчиком за правильность заявленных в коносаменте сведений несет отправитель.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 xml:space="preserve">Коносамент сопровождает груз при перевозке. Оригинал коносамента является </w:t>
            </w:r>
            <w:r w:rsidR="002270BA"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товарораспорядительным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документом.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BAF</w:t>
            </w:r>
            <w:r w:rsid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845DAC" w:rsidRP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- </w:t>
            </w:r>
            <w:r w:rsidR="00845DAC" w:rsidRPr="00845DAC">
              <w:rPr>
                <w:rFonts w:ascii="Tahoma" w:hAnsi="Tahoma" w:cs="Tahoma"/>
                <w:b/>
                <w:color w:val="494949"/>
                <w:sz w:val="20"/>
                <w:szCs w:val="20"/>
                <w:shd w:val="clear" w:color="auto" w:fill="FFFFFF"/>
              </w:rPr>
              <w:t>BUNKER ADJUSTMENT FACTORY</w:t>
            </w:r>
            <w:r w:rsidR="00845DAC" w:rsidRPr="00845DAC">
              <w:rPr>
                <w:rFonts w:ascii="Arial" w:hAnsi="Arial" w:cs="Arial"/>
                <w:color w:val="494949"/>
                <w:sz w:val="20"/>
                <w:szCs w:val="20"/>
                <w:shd w:val="clear" w:color="auto" w:fill="FFFFFF"/>
              </w:rPr>
              <w:t xml:space="preserve"> </w:t>
            </w:r>
            <w:r w:rsidR="002270BA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Бункерная надбавка – дополнительный сбор к базовой ставке фрахта, величина зависит от стоимости топлива на международном рынке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BONDED WAREHOUSE</w:t>
            </w:r>
            <w:r w:rsidR="00845DAC" w:rsidRP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Склад, находящийся под таможенным контролем, товары на котором хранятся без обложения государственными налогами: таможенный склад или склад временного хранения.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BOOKING NOTE</w:t>
            </w:r>
            <w:r w:rsidR="00845DAC" w:rsidRP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Заявка на перевозку – используется для резервирования места и тары, информация, указанная в заявке, не является основой для заполнения коносамента, после подачи заявки заявитель принимает на себя обязанности предоставить груз к указанному сроку.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BREAK BULK</w:t>
            </w:r>
            <w:r w:rsidR="00845DAC" w:rsidRP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Перевозка небольшой партии груза без использования контейнера.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CAF</w:t>
            </w:r>
            <w:r w:rsidR="00845DAC" w:rsidRP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-CURRENCY ADJUSTMENT FACTORY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Валютная надбавка – дополнительный сбор к базовой ставке фрахта, величина зависит от изменения курса валют.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CBM</w:t>
            </w:r>
            <w:r w:rsidR="00845DAC" w:rsidRP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Метр кубический 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–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е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диница измерения объема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в метрической системе.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CFS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Склад консолидации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: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 xml:space="preserve">   1. </w:t>
            </w:r>
            <w:proofErr w:type="spellStart"/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C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клад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, в котором осуществляется консолидация и загрузка/разгрузка в/из морские контейнеры.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 xml:space="preserve">   2. Условие перевозки при отправлении/прибытии – означает, что экспедитор принимает на себя обязанности по организации перевозки от/до CFS; стоимость перевозки включает услуги по отправке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от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/до CFS (фрахт, погрузка/выгрузка с судна, размещение на CFS).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COC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Контейнер перевозчика, стоимость использования контейнера включается во фрахт.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CONSIGNEE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Получатель — лицо, которому передается груз в месте назначения.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CUT OFF TIME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Контрольное время завоза груза на терминал и оформления соответствующих документов на рейс.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CY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Контейнерный терминал: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  1. Место хранения контейнеров перед/после их дальнейшей отправкой.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 xml:space="preserve"> 2. Условие перевозки при отправлении/прибытии — означает, что экспедитор принимает на себя обязанности по организации перевозки от/до CY; стоимость перевозки включает услуги по отправке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от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/до CY (фрахт, погрузка/выгрузка с судна, размещение на CY).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DC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Сухой контейнер – тип контейнера.</w:t>
            </w:r>
            <w:r w:rsidR="00B47D38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B47D38"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Смотрите в типах контейнеров.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DEMURRAGE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Демередж – плата за сверхнормативную задержку контейнера, взимается за каждые сутки задержания.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DOOR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Доставка до двери – условие перевозки при отправлении/прибытии – означает, что экспедитор принимает на себя обязанности по организации перевозки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до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/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от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входных дверей/склада отправителя/пол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у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чателя; стоимость перевозки включает услуги по отправке от/до входных дверей/склада отправителя/получателя.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lastRenderedPageBreak/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DROP-OFF CHARGE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 - 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Сбор за возврат контейнера, принадлежащего перевозчику, в месте отличном от места назначения, указанного в коносаменте перевозчика.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ETA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Предполагаемая дата прибытия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судна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ETD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Предполагаемая дата отхода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судна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.</w:t>
            </w:r>
            <w:bookmarkStart w:id="0" w:name="_GoBack"/>
            <w:bookmarkEnd w:id="0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FCL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Полная загрузка контейнера одним отправителем в адрес одного получателя.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FEEDER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Фидер – судно/линия, обслуживающие </w:t>
            </w:r>
            <w:r w:rsidR="00845DAC"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порты,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удаленные от главных транспортных узлов.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FEU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Эквивалент объем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а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сорокафутового контейнера.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FI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-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    Свободно от погрузки – условие перевозки при отправлении – означает, что фрахт не учитывает стоимости погрузки на судно.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FO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Свободно от выгрузки – условие перевозки в месте назначения – означает, что фрахт не учитывает стоимости выгрузки с судна.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proofErr w:type="gramStart"/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FOR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 </w:t>
            </w:r>
            <w:r w:rsidRPr="00F24A5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eastAsia="ru-RU"/>
              </w:rPr>
              <w:t>станция назначения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Свободно в вагоне/на платформе – условие перевозки при прибытии – означает, что оговоренная ставка провозной платы не включает с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т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оимость работ по выгрузке груза с платформы/вагона, уборке вагонов и т. д.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FOR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 </w:t>
            </w:r>
            <w:r w:rsidRPr="00F24A5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eastAsia="ru-RU"/>
              </w:rPr>
              <w:t>станция отправления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Свободно в вагоне/на платформе – условие перевозки при отправлении – означает, что оговоренная ставка провозной платы не включает с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т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оимость работ по погрузке на платформу/вагон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, подгону вагонов и т. д.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FR</w:t>
            </w:r>
            <w:r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FLAT RACK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 – тип контейнера - смотрите в типах контейнеров.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FREIGHT COLLECT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Фрахт оплачивается получателем.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FREIGHT PREPAID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Фрахт оплачивается отправителем.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proofErr w:type="gramStart"/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GENERAL CARGO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Генеральный груз – груз, который может быть пересчитан, т.е. груз, упакованный в тару, или штучный груз, в том числе: ящики, мешки, бочки, тюки, контейнеры и т. д.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GRI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Дополнительный сбор к базовой ставке фрахта, устанавливается в соответствии с тарифной политикой </w:t>
            </w:r>
            <w:r w:rsidR="00845DAC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морской линии и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носит, как правило, сезонный характер.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HC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– </w:t>
            </w:r>
            <w:r w:rsidR="00845DAC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 xml:space="preserve">HIGH CUBE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контейнер повышенной вместимости. Смотрите в типах контейнеров.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IN-BOND</w:t>
            </w:r>
            <w:r w:rsidR="00845DAC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Не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прошедший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таможенную очистку (о товаре).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LCL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Частичная загрузка контейнера, в одном контейнере следует груз нескольких отправителей в адрес нескольких получателей.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LI</w:t>
            </w:r>
            <w:r w:rsidR="00E75B6B" w:rsidRP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Линейные условия при отправлении – условия, при которых экспедитор предоставляет следующие услуги, стоим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сть которых включена в ставку фрахта: снятие контейнера с транспортного средства (авто, 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жд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), размещение на терминале (CY), погрузка на судно.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LO</w:t>
            </w:r>
            <w:r w:rsid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-  Л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инейные условия при прибытии – условия, при которых экспедитор предоставляет следующие услуги, 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стоимсоть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которых включена в ставку фрахта: выгрузка с судна, размещение на терминале (CY), погрузка на транспортное средство (авто, 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жд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).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MOTHER VESSEL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Крупнотоннажное линейное судно, обслуживающее порты с большим грузооборотом. Дословно мате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р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инское судно.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MT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т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онна метрическая = 1000кг.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</w:p>
          <w:p w:rsidR="00F24A5B" w:rsidRPr="00F24A5B" w:rsidRDefault="00F24A5B" w:rsidP="00E75B6B">
            <w:pPr>
              <w:spacing w:after="0" w:line="240" w:lineRule="atLeast"/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</w:pP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NVOCC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п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еревозчик, 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распоряжающийся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определенным объемом грузовых помещений на судне, которым он не владеет и не управляет, обладающий правом издания бортовых коносаментов.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OGC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Негабаритный груз.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OT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val="en-US" w:eastAsia="ru-RU"/>
              </w:rPr>
              <w:t>OPEN TOP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– тип контейнера. Смотрите в типах контейнеров.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>POD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 - </w:t>
            </w:r>
            <w:r w:rsidR="00E75B6B" w:rsidRPr="00F24A5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val="en-US" w:eastAsia="ru-RU"/>
              </w:rPr>
              <w:t>PORT OF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="00E75B6B" w:rsidRPr="00E75B6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val="en-US" w:eastAsia="ru-RU"/>
              </w:rPr>
              <w:t>DISCHARGE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п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орт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выгрузки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>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>POL</w:t>
            </w:r>
            <w:r w:rsidR="00E75B6B" w:rsidRP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- </w:t>
            </w:r>
            <w:r w:rsidRPr="00F24A5B">
              <w:rPr>
                <w:rFonts w:ascii="Tahoma" w:eastAsia="Times New Roman" w:hAnsi="Tahoma" w:cs="Tahoma"/>
                <w:b/>
                <w:color w:val="333333"/>
                <w:sz w:val="20"/>
                <w:szCs w:val="20"/>
                <w:lang w:val="en-US" w:eastAsia="ru-RU"/>
              </w:rPr>
              <w:t>PORT OF LOADING</w:t>
            </w:r>
            <w:r w:rsidR="00E75B6B" w:rsidRP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 - 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орт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 xml:space="preserve">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погрузки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t>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val="en-US"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RAMP</w:t>
            </w:r>
            <w:r w:rsid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–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 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Рампа: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  1. Устройство для перемещения груза с одного вида транспорта на другой.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 xml:space="preserve">   2.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Условие перевозки при отправлении/прибытии — означает, что экспедитор принимает на себя обязанности по организации перевозки от/до ближайшей к отправителю/получателю рампы; стоимость перевозки включает услуги по отправке от/до рампы (фрахт, погрузка/выгрузка с судна, терминальные усл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у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ги, погрузку на авто/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жд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транспорт, доставку до/от ближайшей к получателю/отправителю рампы).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REPO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Возврат порожнего контейнера в ближайший сток перевозчика после выгрузки.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RF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– тип контейнера - р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ефрижераторный контейнер.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</w:t>
            </w:r>
            <w:r w:rsidR="00E75B6B"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Смотрите в типах контейнеров.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SHIPPER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Отправитель – лицо, фактически или номинально предоставляющее груз к перевозке, а также направляющее инструкции перевозчику.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SHIPPING REQUEST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и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нструкции по отправке груза – являются основой для заполнения коносамента.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SOC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Контейнер – собственность отправителя (клиента).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STUFFING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Стаф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ф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ировка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– загрузка контейнера.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TEU</w:t>
            </w:r>
            <w:r w:rsid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э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квивалент объема двадцатифутового контейнера. Часто используется в оценке грузооборота.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proofErr w:type="gramStart"/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THC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Терминальная обработка груза – первоначально – любые услуги терминала по обработке груза: погрузка/выгрузка с судна, перемещение в штабель, выставление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для производства работ и т. д.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В настоящее время в практике сложилось следующее понимание данного термина – услуги по обработке груза, оплату которых в соответствиями с обычаями порта производит отправитель, если это порт отправления (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oTHC</w:t>
            </w:r>
            <w:proofErr w:type="spell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), или получатель, если это порт назначения (</w:t>
            </w:r>
            <w:proofErr w:type="spell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dTHC</w:t>
            </w:r>
            <w:proofErr w:type="spellEnd"/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).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TKL</w:t>
            </w:r>
            <w:r w:rsidR="00E75B6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Условие перевозки при отправлении/прибытии – означает, что экспедитор принимает на себя обязанности по организации перевозки от/до перегрузочного оборудования в порту отправления/назначения; стоимость перевозки включает кроме фрахта погрузку/выгрузку с /на судно, не включает подвоз/отвоз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к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/от перегрузочного оборуд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ования. Д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анные условия перевозки часто используются в портах, контейнерные терминалы (CY) в которых удалены от линии причальной стенки и доставка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до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/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с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места погрузки /выгрузки является дополнительной операцией.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TRANSHIPMENT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смена в транзитном порту судоходной линии для доставки </w:t>
            </w:r>
            <w:proofErr w:type="gramStart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из</w:t>
            </w:r>
            <w:proofErr w:type="gramEnd"/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/в порт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,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не обслуживаемый линией напрямую.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UN CODE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Номер ООН – четырехзначный номер, используемый для обозначения вещества или группы веществ в соответствии с классификацией опасных грузов, разработанной Комитетом экспертов по перевозке опасных грузов Экономического и Социального Совета Организации Объединенных Наций в рамках «Рекомендаций по перевозке опасных грузов».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WAY BILL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Накладная – договор перевозки, также как и коносамент – документ, подтверждающий факт принятия груза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lastRenderedPageBreak/>
              <w:t>перевозчиком к морской перевозке и обязательство передать его грузополучателю в порту назначения, ответственность перед перевозчиком за правильность заявленных в коносаменте сведений несет отправитель.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Накладная сопровождает груз при перевозке. В отличие от коносамента накладная не может быть товарораспорядительным документом.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  <w:t> 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br/>
            </w:r>
            <w:r w:rsidRPr="00F24A5B">
              <w:rPr>
                <w:rFonts w:ascii="Tahoma" w:eastAsia="Times New Roman" w:hAnsi="Tahoma" w:cs="Tahoma"/>
                <w:b/>
                <w:bCs/>
                <w:color w:val="333333"/>
                <w:sz w:val="20"/>
                <w:szCs w:val="20"/>
                <w:lang w:eastAsia="ru-RU"/>
              </w:rPr>
              <w:t>WM</w:t>
            </w:r>
            <w:r w:rsidR="00E75B6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 xml:space="preserve"> - </w:t>
            </w:r>
            <w:r w:rsidRPr="00F24A5B">
              <w:rPr>
                <w:rFonts w:ascii="Tahoma" w:eastAsia="Times New Roman" w:hAnsi="Tahoma" w:cs="Tahoma"/>
                <w:color w:val="333333"/>
                <w:sz w:val="20"/>
                <w:szCs w:val="20"/>
                <w:lang w:eastAsia="ru-RU"/>
              </w:rPr>
              <w:t>Основа для начисления фрахта – вес или объем, применяется в зависимости от того, какой показатель (вес или объем) больше.</w:t>
            </w:r>
          </w:p>
        </w:tc>
      </w:tr>
    </w:tbl>
    <w:p w:rsidR="008C7CA6" w:rsidRPr="00F24A5B" w:rsidRDefault="008C7CA6" w:rsidP="00E75B6B">
      <w:pPr>
        <w:spacing w:after="0"/>
        <w:rPr>
          <w:sz w:val="20"/>
          <w:szCs w:val="20"/>
        </w:rPr>
      </w:pPr>
    </w:p>
    <w:sectPr w:rsidR="008C7CA6" w:rsidRPr="00F24A5B" w:rsidSect="00F24A5B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4A5B"/>
    <w:rsid w:val="002270BA"/>
    <w:rsid w:val="00845DAC"/>
    <w:rsid w:val="008C7CA6"/>
    <w:rsid w:val="00B47D38"/>
    <w:rsid w:val="00C70352"/>
    <w:rsid w:val="00E75B6B"/>
    <w:rsid w:val="00F2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Lomtev</dc:creator>
  <cp:lastModifiedBy>Lomtev</cp:lastModifiedBy>
  <cp:revision>5</cp:revision>
  <dcterms:created xsi:type="dcterms:W3CDTF">2013-11-06T07:28:00Z</dcterms:created>
  <dcterms:modified xsi:type="dcterms:W3CDTF">2013-11-06T08:16:00Z</dcterms:modified>
</cp:coreProperties>
</file>