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4E" w:rsidRDefault="0083584E" w:rsidP="00C0208F">
      <w:pPr>
        <w:spacing w:line="240" w:lineRule="auto"/>
        <w:ind w:firstLine="709"/>
      </w:pPr>
    </w:p>
    <w:p w:rsidR="00D119D2" w:rsidRPr="004717C1" w:rsidRDefault="00D119D2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7C1">
        <w:rPr>
          <w:rFonts w:ascii="Times New Roman" w:hAnsi="Times New Roman" w:cs="Times New Roman"/>
          <w:b/>
          <w:sz w:val="24"/>
          <w:szCs w:val="24"/>
        </w:rPr>
        <w:t xml:space="preserve">LOCALIZAÇÃO </w:t>
      </w:r>
      <w:r w:rsidR="004717C1" w:rsidRPr="004717C1">
        <w:rPr>
          <w:rFonts w:ascii="Times New Roman" w:hAnsi="Times New Roman" w:cs="Times New Roman"/>
          <w:b/>
          <w:sz w:val="24"/>
          <w:szCs w:val="24"/>
        </w:rPr>
        <w:t xml:space="preserve">DO DOMO DE ITABAINA, </w:t>
      </w:r>
      <w:proofErr w:type="gramStart"/>
      <w:r w:rsidR="004717C1" w:rsidRPr="004717C1">
        <w:rPr>
          <w:rFonts w:ascii="Times New Roman" w:hAnsi="Times New Roman" w:cs="Times New Roman"/>
          <w:b/>
          <w:sz w:val="24"/>
          <w:szCs w:val="24"/>
        </w:rPr>
        <w:t>SERGIPE</w:t>
      </w:r>
      <w:proofErr w:type="gramEnd"/>
      <w:r w:rsidR="004717C1" w:rsidRPr="004717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19D2" w:rsidRPr="004717C1" w:rsidRDefault="00D119D2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7C1">
        <w:rPr>
          <w:rFonts w:ascii="Times New Roman" w:hAnsi="Times New Roman" w:cs="Times New Roman"/>
          <w:sz w:val="24"/>
          <w:szCs w:val="24"/>
        </w:rPr>
        <w:t>O Domo de Itabaiana possui uma área de 739,06km² e está localizado no agreste sergipano, entre as bacias hidrográficas dos rios Sergipe e Vaza-Barris, mais precisamente entre 10º32’29”</w:t>
      </w:r>
      <w:proofErr w:type="gramEnd"/>
      <w:r w:rsidRPr="004717C1">
        <w:rPr>
          <w:rFonts w:ascii="Times New Roman" w:hAnsi="Times New Roman" w:cs="Times New Roman"/>
          <w:sz w:val="24"/>
          <w:szCs w:val="24"/>
        </w:rPr>
        <w:t xml:space="preserve"> e 10º50’’10” de latitude sul e 37º37’18” e 37º’14’33” de longitude Oeste, podendo ser alcançado a partir do litoral do Estado pela rodovia BR – 235, que segue da sua capital, Aracaju, em direção</w:t>
      </w:r>
      <w:r w:rsidR="004717C1" w:rsidRPr="004717C1">
        <w:rPr>
          <w:rFonts w:ascii="Times New Roman" w:hAnsi="Times New Roman" w:cs="Times New Roman"/>
          <w:sz w:val="24"/>
          <w:szCs w:val="24"/>
        </w:rPr>
        <w:t xml:space="preserve"> ao sertão.</w:t>
      </w:r>
    </w:p>
    <w:p w:rsidR="004717C1" w:rsidRPr="004717C1" w:rsidRDefault="004717C1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7C1">
        <w:rPr>
          <w:rFonts w:ascii="Times New Roman" w:hAnsi="Times New Roman" w:cs="Times New Roman"/>
          <w:sz w:val="24"/>
          <w:szCs w:val="24"/>
        </w:rPr>
        <w:t xml:space="preserve">Nessa localidade do Domo de Itabaiana se encontram áreas dos municípios de Areia Branca, Campo do Brito, Frei Paulo, Itabaiana, </w:t>
      </w:r>
      <w:proofErr w:type="spellStart"/>
      <w:r w:rsidRPr="004717C1">
        <w:rPr>
          <w:rFonts w:ascii="Times New Roman" w:hAnsi="Times New Roman" w:cs="Times New Roman"/>
          <w:sz w:val="24"/>
          <w:szCs w:val="24"/>
        </w:rPr>
        <w:t>Itaporanga</w:t>
      </w:r>
      <w:proofErr w:type="spellEnd"/>
      <w:r w:rsidRPr="004717C1">
        <w:rPr>
          <w:rFonts w:ascii="Times New Roman" w:hAnsi="Times New Roman" w:cs="Times New Roman"/>
          <w:sz w:val="24"/>
          <w:szCs w:val="24"/>
        </w:rPr>
        <w:t xml:space="preserve"> d’Ajuda, Macambira, Malhador, Moita Bonita, Nossa Senhora das Dores, </w:t>
      </w:r>
      <w:proofErr w:type="spellStart"/>
      <w:r w:rsidRPr="004717C1">
        <w:rPr>
          <w:rFonts w:ascii="Times New Roman" w:hAnsi="Times New Roman" w:cs="Times New Roman"/>
          <w:sz w:val="24"/>
          <w:szCs w:val="24"/>
        </w:rPr>
        <w:t>Ribeirópolis</w:t>
      </w:r>
      <w:proofErr w:type="spellEnd"/>
      <w:r w:rsidRPr="004717C1">
        <w:rPr>
          <w:rFonts w:ascii="Times New Roman" w:hAnsi="Times New Roman" w:cs="Times New Roman"/>
          <w:sz w:val="24"/>
          <w:szCs w:val="24"/>
        </w:rPr>
        <w:t>, Santa Rosa de Lima e São Domingos. Dentre os municípios citados e que juntos abrangem grande parte da área do Domo, o maior destaque é para o município de Itabaiana.</w:t>
      </w:r>
    </w:p>
    <w:p w:rsidR="00D119D2" w:rsidRPr="004717C1" w:rsidRDefault="004717C1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CARACTERIZAÇÃO DA REGIÃO </w:t>
      </w:r>
    </w:p>
    <w:p w:rsidR="00D119D2" w:rsidRPr="004717C1" w:rsidRDefault="00D119D2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7C1">
        <w:rPr>
          <w:rFonts w:ascii="Times New Roman" w:hAnsi="Times New Roman" w:cs="Times New Roman"/>
          <w:sz w:val="24"/>
          <w:szCs w:val="24"/>
        </w:rPr>
        <w:t>O local possui estruturas geomorfológicas técnica e cientificamente denominadas como Domo, com várias serras residuais, e a mais conhecida e representativa é, precisamente, a Serra de Itabaiana. Apresenta elevações rochosas originadas a partir do choque entre as placas tectônicas, cuja ação geológica da erosão contribuiu para o surgimento de várias serras, cachoeiras e poços.</w:t>
      </w:r>
    </w:p>
    <w:p w:rsidR="00D119D2" w:rsidRDefault="00D119D2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7C1">
        <w:rPr>
          <w:rFonts w:ascii="Times New Roman" w:hAnsi="Times New Roman" w:cs="Times New Roman"/>
          <w:sz w:val="24"/>
          <w:szCs w:val="24"/>
        </w:rPr>
        <w:t>Por se tratar de uma região que possui uma extensão de vegetação de transição com influência da altitude, o Domo de Itabaiana é bastante procurado em períodos de verão, devido aos atrativos naturais aquáticos que existem e que proporcionam aos turistas a sensação de prazer e frescor ao se banharem pelas águas dos rios que por ele percorre, além das tantas outras formas que a natureza oferece dentro desse território.</w:t>
      </w:r>
    </w:p>
    <w:p w:rsidR="00FF6631" w:rsidRPr="00FF6631" w:rsidRDefault="00FF6631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6631">
        <w:rPr>
          <w:rFonts w:ascii="Times New Roman" w:hAnsi="Times New Roman" w:cs="Times New Roman"/>
          <w:sz w:val="24"/>
          <w:szCs w:val="24"/>
        </w:rPr>
        <w:t>A hidrografia da região é marcada pela presença de afluentes de duas grandes bacias hidrográficas, sendo a primeira do Rio Vaza Barris e a segunda do Rio Sergipe. De acordo com o clima, o período de maior concentração das chuvas e/ou de maior umidade ocorre de maio a julho; o período seco ocorre de outubro a março, sendo janeiro o mês mais seco.</w:t>
      </w:r>
    </w:p>
    <w:p w:rsidR="00D119D2" w:rsidRDefault="00D119D2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7C1">
        <w:rPr>
          <w:rFonts w:ascii="Times New Roman" w:hAnsi="Times New Roman" w:cs="Times New Roman"/>
          <w:sz w:val="24"/>
          <w:szCs w:val="24"/>
        </w:rPr>
        <w:t xml:space="preserve">A região do domo é bastante visitada e são realizadas várias excursões voltadas para o turismo de lazer e de aventura. Com todas as riquezas naturais, o Domo é </w:t>
      </w:r>
      <w:r w:rsidRPr="004717C1">
        <w:rPr>
          <w:rFonts w:ascii="Times New Roman" w:hAnsi="Times New Roman" w:cs="Times New Roman"/>
          <w:sz w:val="24"/>
          <w:szCs w:val="24"/>
        </w:rPr>
        <w:lastRenderedPageBreak/>
        <w:t>realmente um local com potencialidade para que o segmento Turismo de Aventura venha a se desenvolver e fortalecer ainda mais o turismo nesta região.</w:t>
      </w:r>
    </w:p>
    <w:p w:rsidR="004717C1" w:rsidRDefault="00CE5484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484">
        <w:rPr>
          <w:rFonts w:ascii="Times New Roman" w:hAnsi="Times New Roman" w:cs="Times New Roman"/>
          <w:b/>
          <w:sz w:val="24"/>
          <w:szCs w:val="24"/>
        </w:rPr>
        <w:t xml:space="preserve">ATRATIVOS NATURAIS </w:t>
      </w:r>
    </w:p>
    <w:p w:rsidR="00CE5484" w:rsidRDefault="00CE5484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484">
        <w:rPr>
          <w:rFonts w:ascii="Times New Roman" w:hAnsi="Times New Roman" w:cs="Times New Roman"/>
          <w:sz w:val="24"/>
          <w:szCs w:val="24"/>
        </w:rPr>
        <w:t xml:space="preserve">Cachoeira de Macambira, Poço das Moças, Rio das Pedras, Poções da Ribeira, Pilões da Ribeira, Poço Dezessete, Pedra da Arara, Cachoeira Poço Negro, além de locais como a sede do Parque Nacional de Itabaiana, o Parque dos Falcões e dentre outros. </w:t>
      </w:r>
    </w:p>
    <w:p w:rsidR="009D48C1" w:rsidRDefault="009D48C1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8C1">
        <w:rPr>
          <w:rFonts w:ascii="Times New Roman" w:hAnsi="Times New Roman" w:cs="Times New Roman"/>
          <w:b/>
          <w:sz w:val="24"/>
          <w:szCs w:val="24"/>
        </w:rPr>
        <w:t xml:space="preserve">ATIVIDDES DE AVENTURA </w:t>
      </w:r>
    </w:p>
    <w:p w:rsidR="009D48C1" w:rsidRDefault="009D48C1" w:rsidP="00C0208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48C1">
        <w:rPr>
          <w:rFonts w:ascii="Times New Roman" w:hAnsi="Times New Roman" w:cs="Times New Roman"/>
          <w:sz w:val="24"/>
          <w:szCs w:val="24"/>
        </w:rPr>
        <w:t xml:space="preserve">No Domo de Itabaiana, foram elencadas oito modalidades de práticas de aventura, apontadas conforme o meio em que elas são desenvolvidas. São contempladas as atividades desenvolvidas na terra, como: caminhadas de curta duração, caminhadas de longa duração, </w:t>
      </w:r>
      <w:proofErr w:type="spellStart"/>
      <w:r w:rsidRPr="009D48C1">
        <w:rPr>
          <w:rFonts w:ascii="Times New Roman" w:hAnsi="Times New Roman" w:cs="Times New Roman"/>
          <w:sz w:val="24"/>
          <w:szCs w:val="24"/>
        </w:rPr>
        <w:t>cicloturismo</w:t>
      </w:r>
      <w:proofErr w:type="spellEnd"/>
      <w:r w:rsidRPr="009D48C1">
        <w:rPr>
          <w:rFonts w:ascii="Times New Roman" w:hAnsi="Times New Roman" w:cs="Times New Roman"/>
          <w:sz w:val="24"/>
          <w:szCs w:val="24"/>
        </w:rPr>
        <w:t xml:space="preserve"> e camping. As práticas de aventura realizadas no meio aquático são </w:t>
      </w:r>
      <w:proofErr w:type="spellStart"/>
      <w:r w:rsidRPr="009D48C1">
        <w:rPr>
          <w:rFonts w:ascii="Times New Roman" w:hAnsi="Times New Roman" w:cs="Times New Roman"/>
          <w:sz w:val="24"/>
          <w:szCs w:val="24"/>
        </w:rPr>
        <w:t>cachoeirismo</w:t>
      </w:r>
      <w:proofErr w:type="spellEnd"/>
      <w:r w:rsidRPr="009D48C1">
        <w:rPr>
          <w:rFonts w:ascii="Times New Roman" w:hAnsi="Times New Roman" w:cs="Times New Roman"/>
          <w:sz w:val="24"/>
          <w:szCs w:val="24"/>
        </w:rPr>
        <w:t xml:space="preserve"> e banho em rios. Por fim, </w:t>
      </w:r>
      <w:proofErr w:type="gramStart"/>
      <w:r w:rsidRPr="009D48C1">
        <w:rPr>
          <w:rFonts w:ascii="Times New Roman" w:hAnsi="Times New Roman" w:cs="Times New Roman"/>
          <w:sz w:val="24"/>
          <w:szCs w:val="24"/>
        </w:rPr>
        <w:t>destaca-se</w:t>
      </w:r>
      <w:proofErr w:type="gramEnd"/>
      <w:r w:rsidRPr="009D48C1">
        <w:rPr>
          <w:rFonts w:ascii="Times New Roman" w:hAnsi="Times New Roman" w:cs="Times New Roman"/>
          <w:sz w:val="24"/>
          <w:szCs w:val="24"/>
        </w:rPr>
        <w:t xml:space="preserve"> duas atividades praticadas em meio aéreo: voo livre realizados com o auxílio de paraquedas e o </w:t>
      </w:r>
      <w:proofErr w:type="spellStart"/>
      <w:r w:rsidRPr="009D48C1">
        <w:rPr>
          <w:rFonts w:ascii="Times New Roman" w:hAnsi="Times New Roman" w:cs="Times New Roman"/>
          <w:i/>
          <w:sz w:val="24"/>
          <w:szCs w:val="24"/>
        </w:rPr>
        <w:t>Rappe</w:t>
      </w:r>
      <w:r w:rsidRPr="009D48C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D48C1">
        <w:rPr>
          <w:rFonts w:ascii="Times New Roman" w:hAnsi="Times New Roman" w:cs="Times New Roman"/>
          <w:sz w:val="24"/>
          <w:szCs w:val="24"/>
        </w:rPr>
        <w:t xml:space="preserve"> com cordas e Equipamentos de Pessoa Individual (EPI).</w:t>
      </w: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652">
        <w:rPr>
          <w:rFonts w:ascii="Times New Roman" w:hAnsi="Times New Roman" w:cs="Times New Roman"/>
          <w:b/>
          <w:sz w:val="24"/>
          <w:szCs w:val="24"/>
        </w:rPr>
        <w:t xml:space="preserve">AGÊNCIAS DE TURISMO DE AVENTURA 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 xml:space="preserve">AMS Viajar é Renascer </w:t>
      </w:r>
      <w:r>
        <w:rPr>
          <w:rFonts w:ascii="Times New Roman" w:hAnsi="Times New Roman" w:cs="Times New Roman"/>
          <w:sz w:val="24"/>
          <w:szCs w:val="24"/>
        </w:rPr>
        <w:t>– (79) 99916-4666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0652">
        <w:rPr>
          <w:rFonts w:ascii="Times New Roman" w:hAnsi="Times New Roman" w:cs="Times New Roman"/>
          <w:sz w:val="24"/>
          <w:szCs w:val="24"/>
        </w:rPr>
        <w:t>Trihleiros</w:t>
      </w:r>
      <w:proofErr w:type="spellEnd"/>
      <w:r w:rsidRPr="00290652">
        <w:rPr>
          <w:rFonts w:ascii="Times New Roman" w:hAnsi="Times New Roman" w:cs="Times New Roman"/>
          <w:sz w:val="24"/>
          <w:szCs w:val="24"/>
        </w:rPr>
        <w:t xml:space="preserve"> de Rocha </w:t>
      </w:r>
      <w:r>
        <w:rPr>
          <w:rFonts w:ascii="Times New Roman" w:hAnsi="Times New Roman" w:cs="Times New Roman"/>
          <w:sz w:val="24"/>
          <w:szCs w:val="24"/>
        </w:rPr>
        <w:t>– (79) 99930-3049 ou (79) 98800-3499</w:t>
      </w: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 xml:space="preserve">Destino Aventura </w:t>
      </w:r>
      <w:r>
        <w:rPr>
          <w:rFonts w:ascii="Times New Roman" w:hAnsi="Times New Roman" w:cs="Times New Roman"/>
          <w:sz w:val="24"/>
          <w:szCs w:val="24"/>
        </w:rPr>
        <w:t>– (79) 99959-2100</w:t>
      </w: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652">
        <w:rPr>
          <w:rFonts w:ascii="Times New Roman" w:hAnsi="Times New Roman" w:cs="Times New Roman"/>
          <w:b/>
          <w:sz w:val="24"/>
          <w:szCs w:val="24"/>
        </w:rPr>
        <w:t>GUIAS DE TURISMO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 xml:space="preserve">Elias Ramos de Lima Neto 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>CADASTUR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>Contato: (79) 99976-5841</w:t>
      </w:r>
    </w:p>
    <w:p w:rsid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0652">
        <w:rPr>
          <w:rFonts w:ascii="Times New Roman" w:hAnsi="Times New Roman" w:cs="Times New Roman"/>
          <w:sz w:val="24"/>
          <w:szCs w:val="24"/>
        </w:rPr>
        <w:t>Eias</w:t>
      </w:r>
      <w:proofErr w:type="spellEnd"/>
      <w:r w:rsidRPr="00290652">
        <w:rPr>
          <w:rFonts w:ascii="Times New Roman" w:hAnsi="Times New Roman" w:cs="Times New Roman"/>
          <w:sz w:val="24"/>
          <w:szCs w:val="24"/>
        </w:rPr>
        <w:t xml:space="preserve"> </w:t>
      </w:r>
      <w:r w:rsidR="00D93766">
        <w:rPr>
          <w:rFonts w:ascii="Times New Roman" w:hAnsi="Times New Roman" w:cs="Times New Roman"/>
          <w:sz w:val="24"/>
          <w:szCs w:val="24"/>
        </w:rPr>
        <w:t xml:space="preserve">José da Silva </w:t>
      </w:r>
    </w:p>
    <w:p w:rsidR="00D93766" w:rsidRDefault="00D93766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CADASTUR </w:t>
      </w:r>
    </w:p>
    <w:p w:rsidR="00D93766" w:rsidRDefault="00D93766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Contato: (79) 99993-6842</w:t>
      </w:r>
    </w:p>
    <w:p w:rsidR="00290652" w:rsidRDefault="00290652" w:rsidP="00290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6FF5" w:rsidRDefault="007B6FF5" w:rsidP="00290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90652" w:rsidRDefault="00290652" w:rsidP="0029065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652">
        <w:rPr>
          <w:rFonts w:ascii="Times New Roman" w:hAnsi="Times New Roman" w:cs="Times New Roman"/>
          <w:b/>
          <w:sz w:val="24"/>
          <w:szCs w:val="24"/>
        </w:rPr>
        <w:t xml:space="preserve">NORMAS TÉCNICAS DE SEGURANÇA </w:t>
      </w:r>
    </w:p>
    <w:p w:rsidR="007B6FF5" w:rsidRPr="007B6FF5" w:rsidRDefault="007B6FF5" w:rsidP="007B6FF5">
      <w:pPr>
        <w:pStyle w:val="mb-0"/>
        <w:shd w:val="clear" w:color="auto" w:fill="FFFFFF"/>
        <w:spacing w:before="0" w:beforeAutospacing="0"/>
        <w:jc w:val="both"/>
        <w:rPr>
          <w:rFonts w:ascii="Work Sans" w:hAnsi="Work Sans"/>
        </w:rPr>
      </w:pPr>
      <w:hyperlink r:id="rId4" w:history="1">
        <w:r w:rsidRPr="007B6FF5">
          <w:rPr>
            <w:rStyle w:val="Hyperlink"/>
            <w:rFonts w:ascii="Work Sans" w:hAnsi="Work Sans"/>
            <w:color w:val="auto"/>
            <w:u w:val="none"/>
          </w:rPr>
          <w:t>NBRISO21101 de 11/2014 - Turismo de aventura — Sistemas de gestão da segurança — Requisitos</w:t>
        </w:r>
      </w:hyperlink>
    </w:p>
    <w:p w:rsidR="007B6FF5" w:rsidRPr="007B6FF5" w:rsidRDefault="007B6FF5" w:rsidP="007B6FF5">
      <w:pPr>
        <w:pStyle w:val="mb-0"/>
        <w:shd w:val="clear" w:color="auto" w:fill="FFFFFF"/>
        <w:spacing w:before="0" w:beforeAutospacing="0"/>
        <w:jc w:val="both"/>
        <w:rPr>
          <w:rFonts w:ascii="Work Sans" w:hAnsi="Work Sans"/>
          <w:color w:val="212529"/>
        </w:rPr>
      </w:pPr>
      <w:r w:rsidRPr="007B6FF5">
        <w:rPr>
          <w:rFonts w:ascii="Work Sans" w:hAnsi="Work Sans"/>
          <w:color w:val="212529"/>
        </w:rPr>
        <w:t>Esta Norma estabelece os requisitos de um sistema de gestão da segurança para prestadores de serviços de atividades de turismo de aventura.</w:t>
      </w:r>
    </w:p>
    <w:p w:rsidR="00A8056F" w:rsidRPr="007B6FF5" w:rsidRDefault="00A8056F" w:rsidP="007B6FF5">
      <w:pPr>
        <w:spacing w:line="360" w:lineRule="auto"/>
        <w:ind w:firstLine="709"/>
        <w:jc w:val="both"/>
        <w:rPr>
          <w:sz w:val="24"/>
          <w:szCs w:val="24"/>
        </w:rPr>
      </w:pPr>
      <w:hyperlink r:id="rId5" w:history="1"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 xml:space="preserve">NBR15501 de 03/2011 - Turismo de aventura — Técnicas verticais — Requisitos para </w:t>
        </w:r>
        <w:proofErr w:type="spellStart"/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produto</w:t>
        </w:r>
      </w:hyperlink>
      <w:proofErr w:type="spellEnd"/>
    </w:p>
    <w:p w:rsidR="00D93766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 xml:space="preserve">Esta Norma aborda os serviços para o fornecimento de produtos turísticos das atividades de </w:t>
      </w:r>
      <w:proofErr w:type="spellStart"/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cachoeirismo</w:t>
      </w:r>
      <w:proofErr w:type="spellEnd"/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, tirolesa, rapel e escalada, bem como estabelece os requisitos da operação relativos à segurança dos clientes e condutores destes produtos com atividades de turismo de aventura que empregam técnicas verticais. Esta Norma foi redigida de forma a aplicar-se a todos os tipos e portes de organizações e para adequar-se a diferentes condições geográficas, culturais e sociais.</w:t>
      </w:r>
    </w:p>
    <w:p w:rsidR="00A8056F" w:rsidRPr="007B6FF5" w:rsidRDefault="00A8056F" w:rsidP="007B6FF5">
      <w:pPr>
        <w:spacing w:line="360" w:lineRule="auto"/>
        <w:ind w:firstLine="709"/>
        <w:jc w:val="both"/>
        <w:rPr>
          <w:sz w:val="24"/>
          <w:szCs w:val="24"/>
        </w:rPr>
      </w:pPr>
      <w:hyperlink r:id="rId6" w:history="1"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 xml:space="preserve">NBR15505-2 de 07/2019 - Turismo de aventura — Caminhada - Parte 2: Classificação de </w:t>
        </w:r>
        <w:proofErr w:type="spellStart"/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percursos</w:t>
        </w:r>
      </w:hyperlink>
      <w:proofErr w:type="spellEnd"/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Esta Norma estabelece os critérios referentes à classificação de percursos utilizados em caminhadas com ou sem pernoite, quanto às suas características e severidade.</w:t>
      </w:r>
    </w:p>
    <w:p w:rsidR="00A8056F" w:rsidRPr="007B6FF5" w:rsidRDefault="00A8056F" w:rsidP="007B6FF5">
      <w:pPr>
        <w:spacing w:line="360" w:lineRule="auto"/>
        <w:ind w:firstLine="709"/>
        <w:jc w:val="both"/>
        <w:rPr>
          <w:sz w:val="24"/>
          <w:szCs w:val="24"/>
        </w:rPr>
      </w:pPr>
      <w:hyperlink r:id="rId7" w:history="1"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NBRISO21103 de 11/2014 - Turismo de aventura — Informações para participantes</w:t>
        </w:r>
      </w:hyperlink>
      <w:r w:rsidRPr="007B6FF5">
        <w:rPr>
          <w:sz w:val="24"/>
          <w:szCs w:val="24"/>
        </w:rPr>
        <w:t>.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Esta Norma define os termos comumente utilizados nas diversas atividades de turismo de aventura, incluindo termos relacionados à segurança, serviços e equipamentos.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NBRISO 21103 de 11/2014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Esta Norma especifica os requisitos mínimos para a informação a ser fornecida aos participantes antes, durante e após as atividades de turismo de aventura.</w:t>
      </w:r>
    </w:p>
    <w:p w:rsidR="00A8056F" w:rsidRPr="007B6FF5" w:rsidRDefault="00A8056F" w:rsidP="007B6FF5">
      <w:pPr>
        <w:spacing w:line="360" w:lineRule="auto"/>
        <w:ind w:firstLine="709"/>
        <w:jc w:val="both"/>
        <w:rPr>
          <w:sz w:val="24"/>
          <w:szCs w:val="24"/>
        </w:rPr>
      </w:pPr>
      <w:hyperlink r:id="rId8" w:history="1"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 xml:space="preserve">NBR15509-2 de 12/2017 - </w:t>
        </w:r>
        <w:proofErr w:type="spellStart"/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Cicloturismo</w:t>
        </w:r>
        <w:proofErr w:type="spellEnd"/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 xml:space="preserve"> - Parte 2: Classificação de </w:t>
        </w:r>
        <w:proofErr w:type="spellStart"/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percursos</w:t>
        </w:r>
      </w:hyperlink>
      <w:proofErr w:type="spellEnd"/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lastRenderedPageBreak/>
        <w:t xml:space="preserve">Esta Norma estabelece os requisitos de turismo de aventura para os produtos de </w:t>
      </w:r>
      <w:proofErr w:type="spellStart"/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cicloturismo</w:t>
      </w:r>
      <w:proofErr w:type="spellEnd"/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 xml:space="preserve"> relativos à segurança dos participantes e líderes. Esta Norma foi redigida para ser aplicável a todos os tipos e tamanhos de organizações e para adaptar-se a diferentes condições geográficas, culturais e sociais.</w:t>
      </w:r>
    </w:p>
    <w:p w:rsidR="00A8056F" w:rsidRPr="007B6FF5" w:rsidRDefault="00A8056F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hyperlink r:id="rId9" w:history="1">
        <w:r w:rsidRPr="007B6FF5">
          <w:rPr>
            <w:rStyle w:val="Hyperlink"/>
            <w:rFonts w:ascii="Work Sans" w:hAnsi="Work Sans"/>
            <w:color w:val="auto"/>
            <w:sz w:val="24"/>
            <w:szCs w:val="24"/>
            <w:u w:val="none"/>
            <w:shd w:val="clear" w:color="auto" w:fill="FFFFFF"/>
          </w:rPr>
          <w:t>NBR15398 de 09/2006 - Turismo de aventura - Condutores de caminhada de longo curso - Competências de pessoal</w:t>
        </w:r>
      </w:hyperlink>
      <w:r w:rsidRPr="007B6FF5">
        <w:rPr>
          <w:sz w:val="24"/>
          <w:szCs w:val="24"/>
        </w:rPr>
        <w:t>.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Esta Norma estabelece os resultados esperados e as competências mínimas para condutores de turismo de aventura com atividades de caminhada de longo curso.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 xml:space="preserve">NBRISO20611 de 08/2019 – Boas práticas de sustentabilidade </w:t>
      </w:r>
    </w:p>
    <w:p w:rsidR="00DE5952" w:rsidRPr="007B6FF5" w:rsidRDefault="00DE5952" w:rsidP="007B6FF5">
      <w:pPr>
        <w:spacing w:line="360" w:lineRule="auto"/>
        <w:ind w:firstLine="709"/>
        <w:jc w:val="both"/>
        <w:rPr>
          <w:rFonts w:ascii="Work Sans" w:hAnsi="Work Sans"/>
          <w:color w:val="212529"/>
          <w:sz w:val="24"/>
          <w:szCs w:val="24"/>
          <w:shd w:val="clear" w:color="auto" w:fill="FFFFFF"/>
        </w:rPr>
      </w:pPr>
      <w:r w:rsidRPr="007B6FF5">
        <w:rPr>
          <w:rFonts w:ascii="Work Sans" w:hAnsi="Work Sans"/>
          <w:color w:val="212529"/>
          <w:sz w:val="24"/>
          <w:szCs w:val="24"/>
          <w:shd w:val="clear" w:color="auto" w:fill="FFFFFF"/>
        </w:rPr>
        <w:t>Este documento fornece requisitos e recomendações para fornecedores de atividades de turismo de aventura sobre boas práticas de sustentabilidade (aspectos ambientais, sociais e econômicos) para atividades de turismo de aventura.</w:t>
      </w:r>
    </w:p>
    <w:p w:rsidR="00DE5952" w:rsidRPr="007B6FF5" w:rsidRDefault="00DE5952" w:rsidP="007B6FF5">
      <w:pPr>
        <w:pStyle w:val="mb-0"/>
        <w:shd w:val="clear" w:color="auto" w:fill="FFFFFF"/>
        <w:spacing w:before="0" w:beforeAutospacing="0"/>
        <w:jc w:val="both"/>
        <w:rPr>
          <w:rFonts w:ascii="Work Sans" w:hAnsi="Work Sans"/>
        </w:rPr>
      </w:pPr>
      <w:hyperlink r:id="rId10" w:history="1">
        <w:r w:rsidRPr="007B6FF5">
          <w:rPr>
            <w:rStyle w:val="Hyperlink"/>
            <w:rFonts w:ascii="Work Sans" w:hAnsi="Work Sans"/>
            <w:color w:val="auto"/>
            <w:u w:val="none"/>
          </w:rPr>
          <w:t>NBRISO21416 de 10/2020 - Serviços de mergulho recreativo — Requisitos e orientações para práticas ambientalmente sustentáveis em mergulho recreativo</w:t>
        </w:r>
      </w:hyperlink>
    </w:p>
    <w:p w:rsidR="00DE5952" w:rsidRDefault="00DE5952" w:rsidP="007B6FF5">
      <w:pPr>
        <w:pStyle w:val="mb-0"/>
        <w:shd w:val="clear" w:color="auto" w:fill="FFFFFF"/>
        <w:spacing w:before="0" w:beforeAutospacing="0"/>
        <w:jc w:val="both"/>
        <w:rPr>
          <w:rFonts w:ascii="Work Sans" w:hAnsi="Work Sans"/>
          <w:color w:val="212529"/>
        </w:rPr>
      </w:pPr>
      <w:r w:rsidRPr="007B6FF5">
        <w:rPr>
          <w:rFonts w:ascii="Work Sans" w:hAnsi="Work Sans"/>
          <w:color w:val="212529"/>
        </w:rPr>
        <w:t>Este Documento especifica os requisitos para prestadores de serviços em relação às práticas responsáveis para o fornecimento de seus serviços.</w:t>
      </w:r>
    </w:p>
    <w:p w:rsidR="007B6FF5" w:rsidRPr="007B6FF5" w:rsidRDefault="007B6FF5" w:rsidP="007B6FF5">
      <w:pPr>
        <w:pStyle w:val="mb-0"/>
        <w:shd w:val="clear" w:color="auto" w:fill="FFFFFF"/>
        <w:spacing w:before="0" w:beforeAutospacing="0"/>
      </w:pPr>
      <w:hyperlink r:id="rId11" w:history="1">
        <w:r w:rsidRPr="007B6FF5">
          <w:rPr>
            <w:rStyle w:val="Hyperlink"/>
            <w:color w:val="auto"/>
            <w:u w:val="none"/>
          </w:rPr>
          <w:t>NBR15037 de 02/2004 - Turismo - Gerente de camping - Competência de pessoal</w:t>
        </w:r>
      </w:hyperlink>
    </w:p>
    <w:p w:rsidR="007B6FF5" w:rsidRPr="007B6FF5" w:rsidRDefault="007B6FF5" w:rsidP="007B6FF5">
      <w:pPr>
        <w:pStyle w:val="mb-0"/>
        <w:shd w:val="clear" w:color="auto" w:fill="FFFFFF"/>
        <w:spacing w:before="0" w:beforeAutospacing="0"/>
      </w:pPr>
      <w:r w:rsidRPr="007B6FF5">
        <w:t>Esta Norma estabelece os resultados esperados e as competências mínimas para gerente de camping.</w:t>
      </w:r>
    </w:p>
    <w:p w:rsidR="00A54E06" w:rsidRPr="00A54E06" w:rsidRDefault="00A54E06" w:rsidP="00A54E06">
      <w:pPr>
        <w:pStyle w:val="identifica"/>
        <w:shd w:val="clear" w:color="auto" w:fill="FFFFFF"/>
        <w:spacing w:before="408" w:beforeAutospacing="0" w:after="408" w:afterAutospacing="0"/>
        <w:rPr>
          <w:b/>
          <w:bCs/>
          <w:caps/>
        </w:rPr>
      </w:pPr>
      <w:r w:rsidRPr="00A54E06">
        <w:rPr>
          <w:b/>
          <w:bCs/>
          <w:caps/>
        </w:rPr>
        <w:t xml:space="preserve">INSTRUÇÃO NORMATIVA Nº 4 - GABIN/ICMBIO, DE 10 DE JUNHO DE </w:t>
      </w:r>
      <w:proofErr w:type="gramStart"/>
      <w:r w:rsidRPr="00A54E06">
        <w:rPr>
          <w:b/>
          <w:bCs/>
          <w:caps/>
        </w:rPr>
        <w:t>2021</w:t>
      </w:r>
      <w:proofErr w:type="gramEnd"/>
    </w:p>
    <w:p w:rsidR="007B6FF5" w:rsidRPr="007B6FF5" w:rsidRDefault="00A54E06" w:rsidP="00A54E06">
      <w:pPr>
        <w:pStyle w:val="ementa"/>
        <w:shd w:val="clear" w:color="auto" w:fill="FFFFFF"/>
        <w:spacing w:before="0" w:beforeAutospacing="0" w:after="408" w:afterAutospacing="0"/>
        <w:rPr>
          <w:rFonts w:ascii="Work Sans" w:hAnsi="Work Sans"/>
          <w:color w:val="212529"/>
        </w:rPr>
      </w:pPr>
      <w:r w:rsidRPr="00A54E06">
        <w:t xml:space="preserve">Estabelece normas gerais e procedimentos para a realização da atividade de voo livre em unidades de conservação federais. </w:t>
      </w:r>
      <w:proofErr w:type="gramStart"/>
      <w:r w:rsidRPr="00A54E06">
        <w:t>Processo SEI</w:t>
      </w:r>
      <w:proofErr w:type="gramEnd"/>
      <w:r w:rsidRPr="00A54E06">
        <w:t xml:space="preserve"> n. 02070.005240/2020-54.</w:t>
      </w:r>
    </w:p>
    <w:p w:rsidR="00DE5952" w:rsidRDefault="00DE5952" w:rsidP="0029065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652" w:rsidRDefault="00290652" w:rsidP="0029065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INSTITUIÇÕES PARCEIRAS 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>Administração Estadual do Meio Ambiente de Sergipe (ADEMA)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>Instituto Brasileiro do Meio Ambiente e Recursos Naturais Renováveis (IBAMA)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 xml:space="preserve">Instituto Chico Mendes de Conservação da </w:t>
      </w:r>
      <w:proofErr w:type="spellStart"/>
      <w:proofErr w:type="gramStart"/>
      <w:r w:rsidRPr="00290652">
        <w:rPr>
          <w:rFonts w:ascii="Times New Roman" w:hAnsi="Times New Roman" w:cs="Times New Roman"/>
          <w:sz w:val="24"/>
          <w:szCs w:val="24"/>
        </w:rPr>
        <w:t>Biodiversida</w:t>
      </w:r>
      <w:proofErr w:type="spellEnd"/>
      <w:r w:rsidRPr="00290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652">
        <w:rPr>
          <w:rFonts w:ascii="Times New Roman" w:hAnsi="Times New Roman" w:cs="Times New Roman"/>
          <w:sz w:val="24"/>
          <w:szCs w:val="24"/>
        </w:rPr>
        <w:t xml:space="preserve"> ICMBIO) 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lastRenderedPageBreak/>
        <w:t xml:space="preserve">Secretaria de Estado do Meio Ambiente e dos Recursos </w:t>
      </w:r>
      <w:proofErr w:type="spellStart"/>
      <w:r w:rsidRPr="00290652">
        <w:rPr>
          <w:rFonts w:ascii="Times New Roman" w:hAnsi="Times New Roman" w:cs="Times New Roman"/>
          <w:sz w:val="24"/>
          <w:szCs w:val="24"/>
        </w:rPr>
        <w:t>Hidricos</w:t>
      </w:r>
      <w:proofErr w:type="spellEnd"/>
      <w:r w:rsidRPr="00290652">
        <w:rPr>
          <w:rFonts w:ascii="Times New Roman" w:hAnsi="Times New Roman" w:cs="Times New Roman"/>
          <w:sz w:val="24"/>
          <w:szCs w:val="24"/>
        </w:rPr>
        <w:t xml:space="preserve"> de Sergipe (SEMARH)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>Secretaria Municipal de Planejamento, Meio Ambiente e Desenvolvimento Sustentável.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0652">
        <w:rPr>
          <w:rFonts w:ascii="Times New Roman" w:hAnsi="Times New Roman" w:cs="Times New Roman"/>
          <w:sz w:val="24"/>
          <w:szCs w:val="24"/>
        </w:rPr>
        <w:t xml:space="preserve">Secretaria Municipal de Indústria, do Comércio e do Turismo. Itabaiana/SE Fonte: GOIS, </w:t>
      </w:r>
      <w:proofErr w:type="spellStart"/>
      <w:r w:rsidRPr="00290652">
        <w:rPr>
          <w:rFonts w:ascii="Times New Roman" w:hAnsi="Times New Roman" w:cs="Times New Roman"/>
          <w:sz w:val="24"/>
          <w:szCs w:val="24"/>
        </w:rPr>
        <w:t>Antires</w:t>
      </w:r>
      <w:proofErr w:type="spellEnd"/>
      <w:r w:rsidRPr="00290652">
        <w:rPr>
          <w:rFonts w:ascii="Times New Roman" w:hAnsi="Times New Roman" w:cs="Times New Roman"/>
          <w:sz w:val="24"/>
          <w:szCs w:val="24"/>
        </w:rPr>
        <w:t xml:space="preserve"> F.</w:t>
      </w:r>
    </w:p>
    <w:p w:rsidR="00290652" w:rsidRPr="00290652" w:rsidRDefault="00290652" w:rsidP="00C0208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90652" w:rsidRPr="00290652" w:rsidSect="003A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ork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D119D2"/>
    <w:rsid w:val="00290652"/>
    <w:rsid w:val="00340605"/>
    <w:rsid w:val="003A1020"/>
    <w:rsid w:val="004717C1"/>
    <w:rsid w:val="00505DB3"/>
    <w:rsid w:val="007B6FF5"/>
    <w:rsid w:val="0083584E"/>
    <w:rsid w:val="009D48C1"/>
    <w:rsid w:val="00A54E06"/>
    <w:rsid w:val="00A8056F"/>
    <w:rsid w:val="00BB010C"/>
    <w:rsid w:val="00C0208F"/>
    <w:rsid w:val="00CE5484"/>
    <w:rsid w:val="00D119D2"/>
    <w:rsid w:val="00D93766"/>
    <w:rsid w:val="00DE5952"/>
    <w:rsid w:val="00FF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0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0">
    <w:name w:val="mb-0"/>
    <w:basedOn w:val="Normal"/>
    <w:rsid w:val="00DE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5952"/>
    <w:rPr>
      <w:color w:val="0000FF"/>
      <w:u w:val="single"/>
    </w:rPr>
  </w:style>
  <w:style w:type="paragraph" w:customStyle="1" w:styleId="mt-2">
    <w:name w:val="mt-2"/>
    <w:basedOn w:val="Normal"/>
    <w:rsid w:val="007B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dentifica">
    <w:name w:val="identifica"/>
    <w:basedOn w:val="Normal"/>
    <w:rsid w:val="00A5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A5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36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mas.com.br/visualizar/abnt-nbr-nm/12135/abnt-nbr15509-2-cicloturismo-parte-2-classificacao-de-percurs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ormas.com.br/visualizar/abnt-nbr-nm/34596/abnt-nbriso21103-turismo-de-aventura-informacoes-para-participant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rmas.com.br/visualizar/abnt-nbr-nm/27003/abnt-nbr15505-2-turismo-de-aventura-caminhada-parte-2-classificacao-de-percursos" TargetMode="External"/><Relationship Id="rId11" Type="http://schemas.openxmlformats.org/officeDocument/2006/relationships/hyperlink" Target="https://www.normas.com.br/visualizar/abnt-nbr-nm/23249/abnt-nbr15037-turismo-gerente-de-camping-competencia-de-pessoal" TargetMode="External"/><Relationship Id="rId5" Type="http://schemas.openxmlformats.org/officeDocument/2006/relationships/hyperlink" Target="https://www.normas.com.br/visualizar/abnt-nbr-nm/30728/abnt-nbr15501-turismo-de-aventura-tecnicas-verticais-requisitos-para-produto" TargetMode="External"/><Relationship Id="rId10" Type="http://schemas.openxmlformats.org/officeDocument/2006/relationships/hyperlink" Target="https://www.normas.com.br/visualizar/abnt-nbr-nm/12906/abnt-nbriso21416-servicos-de-mergulho-recreativo-requisitos-e-orientacoes-para-praticas-ambientalmente-sustentaveis-em-mergulho-recreativo" TargetMode="External"/><Relationship Id="rId4" Type="http://schemas.openxmlformats.org/officeDocument/2006/relationships/hyperlink" Target="https://www.normas.com.br/visualizar/abnt-nbr-nm/34594/abnt-nbriso21101-turismo-de-aventura-sistemas-de-gestao-da-seguranca-requisitos" TargetMode="External"/><Relationship Id="rId9" Type="http://schemas.openxmlformats.org/officeDocument/2006/relationships/hyperlink" Target="https://www.normas.com.br/visualizar/abnt-nbr-nm/25548/abnt-nbr15398-turismo-de-aventura-condutores-de-caminhada-de-longo-curso-competencias-de-pesso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Antires &amp; Juliana</dc:creator>
  <cp:lastModifiedBy>Antires &amp; Juliana</cp:lastModifiedBy>
  <cp:revision>2</cp:revision>
  <dcterms:created xsi:type="dcterms:W3CDTF">2022-04-26T15:44:00Z</dcterms:created>
  <dcterms:modified xsi:type="dcterms:W3CDTF">2022-04-26T15:44:00Z</dcterms:modified>
</cp:coreProperties>
</file>