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12" w:space="4"/>
          <w:bottom w:val="single" w:color="C00000" w:sz="12" w:space="4"/>
        </w:pBdr>
        <w:spacing w:after="120" w:before="120"/>
        <w:jc w:val="center"/>
      </w:pPr>
      <w:r>
        <w:rPr>
          <w:rFonts w:ascii="Calibri" w:cs="Calibri" w:eastAsia="Calibri" w:hAnsi="Calibri"/>
          <w:b/>
          <w:bCs/>
          <w:color w:val="C00000"/>
          <w:sz w:val="26"/>
          <w:szCs w:val="26"/>
        </w:rPr>
        <w:t xml:space="preserve">UNCLASSIFIED // FOR OFFICIAL USE ONLY</w:t>
      </w:r>
    </w:p>
    <w:p>
      <w:pPr>
        <w:spacing w:after="200" w:before="600"/>
        <w:jc w:val="center"/>
      </w:pPr>
      <w:r>
        <w:rPr>
          <w:rFonts w:ascii="Calibri" w:cs="Calibri" w:eastAsia="Calibri" w:hAnsi="Calibri"/>
          <w:b/>
          <w:bCs/>
          <w:color w:val="1F3864"/>
          <w:sz w:val="44"/>
          <w:szCs w:val="44"/>
        </w:rPr>
        <w:t xml:space="preserve">INTELLIGENCE INFORMATION REPORT (IIR)</w:t>
      </w:r>
    </w:p>
    <w:p>
      <w:pPr>
        <w:spacing w:after="480"/>
        <w:jc w:val="center"/>
      </w:pPr>
      <w:r>
        <w:rPr>
          <w:rFonts w:ascii="Calibri" w:cs="Calibri" w:eastAsia="Calibri" w:hAnsi="Calibri"/>
          <w:b/>
          <w:bCs/>
          <w:sz w:val="28"/>
          <w:szCs w:val="28"/>
        </w:rPr>
        <w:t xml:space="preserve">Coordinated Inauthentic Behavior Campaign “DOLOR SIT”</w:t>
      </w:r>
    </w:p>
    <w:p>
      <w:pPr>
        <w:spacing w:after="600"/>
        <w:jc w:val="center"/>
      </w:pPr>
      <w:r>
        <w:rPr>
          <w:rFonts w:ascii="Calibri" w:cs="Calibri" w:eastAsia="Calibri" w:hAnsi="Calibri"/>
          <w:i/>
          <w:iCs/>
          <w:color w:val="595959"/>
          <w:sz w:val="24"/>
          <w:szCs w:val="24"/>
        </w:rPr>
        <w:t xml:space="preserve">Targeting Regional Discourse on Maritime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Report Serial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IIR-2026-04-0142</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Originator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Joint Information Operations Analysis Cell (JIOAC)</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Report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20 April 2026</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Date(s) of Information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15 March 2026 – 18 April 2026</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Country / Region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Indo-Pacific (AOR-7)</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Topic Code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INFO-OPS / CIB / NARRATIVE-LAUNDERING</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Analytic Confidence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Moderate</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Handling Caveats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FOUO — Not Releasable to Contractors</w:t>
            </w:r>
          </w:p>
        </w:tc>
      </w:tr>
    </w:tbl>
    <w:p>
      <w:r>
        <w:br w:type="page"/>
      </w:r>
    </w:p>
    <w:p>
      <w:pPr>
        <w:spacing w:after="240" w:before="120"/>
      </w:pPr>
      <w:r>
        <w:rPr>
          <w:rFonts w:ascii="Calibri" w:cs="Calibri" w:eastAsia="Calibri" w:hAnsi="Calibri"/>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2"/>
          <w:szCs w:val="32"/>
        </w:rPr>
        <w:t xml:space="preserve">1. Bottom Line Up Front (BLUF)</w:t>
      </w:r>
    </w:p>
    <w:p>
      <w:pPr>
        <w:spacing w:after="120" w:line="300"/>
      </w:pPr>
      <w:r>
        <w:rPr>
          <w:rFonts w:ascii="Calibri" w:cs="Calibri" w:eastAsia="Calibri" w:hAnsi="Calibri"/>
          <w:sz w:val="22"/>
          <w:szCs w:val="22"/>
        </w:rPr>
        <w:t xml:space="preserve">Lorem ipsum dolor sit amet, consectetur adipiscing elit. </w:t>
      </w:r>
      <w:r>
        <w:rPr>
          <w:rFonts w:ascii="Calibri" w:cs="Calibri" w:eastAsia="Calibri" w:hAnsi="Calibri"/>
          <w:sz w:val="22"/>
          <w:szCs w:val="22"/>
        </w:rPr>
        <w:t xml:space="preserve">A state-aligned influence actor — tracked internally as </w:t>
      </w:r>
      <w:r>
        <w:rPr>
          <w:rFonts w:ascii="Calibri" w:cs="Calibri" w:eastAsia="Calibri" w:hAnsi="Calibri"/>
          <w:b/>
          <w:bCs/>
          <w:sz w:val="22"/>
          <w:szCs w:val="22"/>
        </w:rPr>
        <w:t xml:space="preserve">DOLOR SIT</w:t>
      </w:r>
      <w:r>
        <w:rPr>
          <w:rFonts w:ascii="Calibri" w:cs="Calibri" w:eastAsia="Calibri" w:hAnsi="Calibri"/>
          <w:sz w:val="22"/>
          <w:szCs w:val="22"/>
        </w:rPr>
        <w:t xml:space="preserve"> — is </w:t>
      </w:r>
      <w:r>
        <w:rPr>
          <w:rFonts w:ascii="Calibri" w:cs="Calibri" w:eastAsia="Calibri" w:hAnsi="Calibri"/>
          <w:b/>
          <w:bCs/>
          <w:sz w:val="22"/>
          <w:szCs w:val="22"/>
        </w:rPr>
        <w:t xml:space="preserve">almost certainly</w:t>
      </w:r>
      <w:r>
        <w:rPr>
          <w:rFonts w:ascii="Calibri" w:cs="Calibri" w:eastAsia="Calibri" w:hAnsi="Calibri"/>
          <w:sz w:val="22"/>
          <w:szCs w:val="22"/>
        </w:rPr>
        <w:t xml:space="preserve"> conducting a sustained, cross-platform narrative-laundering operation intended to erode public trust in regional maritime security cooperation. Sed do eiusmod tempor incididunt ut labore et dolore magna aliqua. The campaign leverages at least 340 inauthentic assets across four platforms and is assessed to have reached an audience of </w:t>
      </w:r>
      <w:r>
        <w:rPr>
          <w:rFonts w:ascii="Calibri" w:cs="Calibri" w:eastAsia="Calibri" w:hAnsi="Calibri"/>
          <w:b/>
          <w:bCs/>
          <w:sz w:val="22"/>
          <w:szCs w:val="22"/>
        </w:rPr>
        <w:t xml:space="preserve">1.2–1.8 million unique users</w:t>
      </w:r>
      <w:r>
        <w:rPr>
          <w:rFonts w:ascii="Calibri" w:cs="Calibri" w:eastAsia="Calibri" w:hAnsi="Calibri"/>
          <w:sz w:val="22"/>
          <w:szCs w:val="22"/>
        </w:rPr>
        <w:t xml:space="preserve"> during the reporting period.</w:t>
      </w:r>
    </w:p>
    <w:p>
      <w:pPr>
        <w:pStyle w:val="Heading1"/>
        <w:spacing w:after="160" w:before="360"/>
      </w:pPr>
      <w:r>
        <w:rPr>
          <w:rFonts w:ascii="Calibri" w:cs="Calibri" w:eastAsia="Calibri" w:hAnsi="Calibri"/>
          <w:b/>
          <w:bCs/>
          <w:color w:val="1F3864"/>
          <w:sz w:val="32"/>
          <w:szCs w:val="32"/>
        </w:rPr>
        <w:t xml:space="preserve">2. Key Judgments</w:t>
      </w:r>
    </w:p>
    <w:p>
      <w:pPr>
        <w:spacing w:after="120" w:line="300"/>
      </w:pPr>
      <w:r>
        <w:rPr>
          <w:rFonts w:ascii="Calibri" w:cs="Calibri" w:eastAsia="Calibri" w:hAnsi="Calibri"/>
          <w:sz w:val="22"/>
          <w:szCs w:val="22"/>
        </w:rPr>
        <w:t xml:space="preserve">Analytic confidence expressed in accordance with </w:t>
      </w:r>
      <w:r>
        <w:rPr>
          <w:rFonts w:ascii="Calibri" w:cs="Calibri" w:eastAsia="Calibri" w:hAnsi="Calibri"/>
          <w:b/>
          <w:bCs/>
          <w:sz w:val="22"/>
          <w:szCs w:val="22"/>
        </w:rPr>
        <w:t xml:space="preserve">ICD 203</w:t>
      </w:r>
      <w:r>
        <w:rPr>
          <w:rFonts w:ascii="Calibri" w:cs="Calibri" w:eastAsia="Calibri" w:hAnsi="Calibri"/>
          <w:sz w:val="22"/>
          <w:szCs w:val="22"/>
        </w:rPr>
        <w:t xml:space="preserve"> standards. Probability language per the Words of Estimative Probability (WEP) scale.</w:t>
      </w:r>
    </w:p>
    <w:p>
      <w:pPr>
        <w:pStyle w:val="ListParagraph"/>
        <w:numPr>
          <w:ilvl w:val="0"/>
          <w:numId w:val="2"/>
        </w:numPr>
        <w:spacing w:after="80" w:line="300"/>
      </w:pPr>
      <w:r>
        <w:rPr>
          <w:rFonts w:ascii="Calibri" w:cs="Calibri" w:eastAsia="Calibri" w:hAnsi="Calibri"/>
          <w:b/>
          <w:bCs/>
          <w:sz w:val="22"/>
          <w:szCs w:val="22"/>
        </w:rPr>
        <w:t xml:space="preserve">KJ-1. </w:t>
      </w:r>
      <w:r>
        <w:rPr>
          <w:rFonts w:ascii="Calibri" w:cs="Calibri" w:eastAsia="Calibri" w:hAnsi="Calibri"/>
          <w:sz w:val="22"/>
          <w:szCs w:val="22"/>
        </w:rPr>
        <w:t xml:space="preserve">We assess with </w:t>
      </w:r>
      <w:r>
        <w:rPr>
          <w:rFonts w:ascii="Calibri" w:cs="Calibri" w:eastAsia="Calibri" w:hAnsi="Calibri"/>
          <w:b/>
          <w:bCs/>
          <w:sz w:val="22"/>
          <w:szCs w:val="22"/>
        </w:rPr>
        <w:t xml:space="preserve">high confidence</w:t>
      </w:r>
      <w:r>
        <w:rPr>
          <w:rFonts w:ascii="Calibri" w:cs="Calibri" w:eastAsia="Calibri" w:hAnsi="Calibri"/>
          <w:sz w:val="22"/>
          <w:szCs w:val="22"/>
        </w:rPr>
        <w:t xml:space="preserve"> that DOLOR SIT is operated by, or on behalf of, a foreign state actor. </w:t>
      </w:r>
      <w:r>
        <w:rPr>
          <w:rFonts w:ascii="Calibri" w:cs="Calibri" w:eastAsia="Calibri" w:hAnsi="Calibri"/>
          <w:i/>
          <w:iCs/>
          <w:sz w:val="22"/>
          <w:szCs w:val="22"/>
        </w:rPr>
        <w:t xml:space="preserve">Ut enim ad minim veniam, quis nostrud exercitation ullamco laboris nisi ut aliquip ex ea commodo consequat.</w:t>
      </w:r>
    </w:p>
    <w:p>
      <w:pPr>
        <w:pStyle w:val="ListParagraph"/>
        <w:numPr>
          <w:ilvl w:val="0"/>
          <w:numId w:val="2"/>
        </w:numPr>
        <w:spacing w:after="80" w:line="300"/>
      </w:pPr>
      <w:r>
        <w:rPr>
          <w:rFonts w:ascii="Calibri" w:cs="Calibri" w:eastAsia="Calibri" w:hAnsi="Calibri"/>
          <w:b/>
          <w:bCs/>
          <w:sz w:val="22"/>
          <w:szCs w:val="22"/>
        </w:rPr>
        <w:t xml:space="preserve">KJ-2. </w:t>
      </w:r>
      <w:r>
        <w:rPr>
          <w:rFonts w:ascii="Calibri" w:cs="Calibri" w:eastAsia="Calibri" w:hAnsi="Calibri"/>
          <w:sz w:val="22"/>
          <w:szCs w:val="22"/>
        </w:rPr>
        <w:t xml:space="preserve">DOLOR SIT </w:t>
      </w:r>
      <w:r>
        <w:rPr>
          <w:rFonts w:ascii="Calibri" w:cs="Calibri" w:eastAsia="Calibri" w:hAnsi="Calibri"/>
          <w:b/>
          <w:bCs/>
          <w:sz w:val="22"/>
          <w:szCs w:val="22"/>
        </w:rPr>
        <w:t xml:space="preserve">very likely</w:t>
      </w:r>
      <w:r>
        <w:rPr>
          <w:rFonts w:ascii="Calibri" w:cs="Calibri" w:eastAsia="Calibri" w:hAnsi="Calibri"/>
          <w:sz w:val="22"/>
          <w:szCs w:val="22"/>
        </w:rPr>
        <w:t xml:space="preserve"> (80–95%) coordinates its activity through a centralized tasking mechanism, based on synchronized posting cadences and shared infrastructure fingerprints. </w:t>
      </w:r>
      <w:r>
        <w:rPr>
          <w:rFonts w:ascii="Calibri" w:cs="Calibri" w:eastAsia="Calibri" w:hAnsi="Calibri"/>
          <w:i/>
          <w:iCs/>
          <w:sz w:val="22"/>
          <w:szCs w:val="22"/>
        </w:rPr>
        <w:t xml:space="preserve">Duis aute irure dolor in reprehenderit in voluptate velit esse cillum.</w:t>
      </w:r>
    </w:p>
    <w:p>
      <w:pPr>
        <w:pStyle w:val="ListParagraph"/>
        <w:numPr>
          <w:ilvl w:val="0"/>
          <w:numId w:val="2"/>
        </w:numPr>
        <w:spacing w:after="80" w:line="300"/>
      </w:pPr>
      <w:r>
        <w:rPr>
          <w:rFonts w:ascii="Calibri" w:cs="Calibri" w:eastAsia="Calibri" w:hAnsi="Calibri"/>
          <w:b/>
          <w:bCs/>
          <w:sz w:val="22"/>
          <w:szCs w:val="22"/>
        </w:rPr>
        <w:t xml:space="preserve">KJ-3. </w:t>
      </w:r>
      <w:r>
        <w:rPr>
          <w:rFonts w:ascii="Calibri" w:cs="Calibri" w:eastAsia="Calibri" w:hAnsi="Calibri"/>
          <w:sz w:val="22"/>
          <w:szCs w:val="22"/>
        </w:rPr>
        <w:t xml:space="preserve">The operation is </w:t>
      </w:r>
      <w:r>
        <w:rPr>
          <w:rFonts w:ascii="Calibri" w:cs="Calibri" w:eastAsia="Calibri" w:hAnsi="Calibri"/>
          <w:b/>
          <w:bCs/>
          <w:sz w:val="22"/>
          <w:szCs w:val="22"/>
        </w:rPr>
        <w:t xml:space="preserve">likely</w:t>
      </w:r>
      <w:r>
        <w:rPr>
          <w:rFonts w:ascii="Calibri" w:cs="Calibri" w:eastAsia="Calibri" w:hAnsi="Calibri"/>
          <w:sz w:val="22"/>
          <w:szCs w:val="22"/>
        </w:rPr>
        <w:t xml:space="preserve"> (55–80%) to intensify ahead of the regional ministerial summit scheduled for Q3 2026. </w:t>
      </w:r>
      <w:r>
        <w:rPr>
          <w:rFonts w:ascii="Calibri" w:cs="Calibri" w:eastAsia="Calibri" w:hAnsi="Calibri"/>
          <w:i/>
          <w:iCs/>
          <w:sz w:val="22"/>
          <w:szCs w:val="22"/>
        </w:rPr>
        <w:t xml:space="preserve">Excepteur sint occaecat cupidatat non proident, sunt in culpa qui officia deserunt.</w:t>
      </w:r>
    </w:p>
    <w:p>
      <w:pPr>
        <w:pStyle w:val="ListParagraph"/>
        <w:numPr>
          <w:ilvl w:val="0"/>
          <w:numId w:val="2"/>
        </w:numPr>
        <w:spacing w:after="80" w:line="300"/>
      </w:pPr>
      <w:r>
        <w:rPr>
          <w:rFonts w:ascii="Calibri" w:cs="Calibri" w:eastAsia="Calibri" w:hAnsi="Calibri"/>
          <w:b/>
          <w:bCs/>
          <w:sz w:val="22"/>
          <w:szCs w:val="22"/>
        </w:rPr>
        <w:t xml:space="preserve">KJ-4. </w:t>
      </w:r>
      <w:r>
        <w:rPr>
          <w:rFonts w:ascii="Calibri" w:cs="Calibri" w:eastAsia="Calibri" w:hAnsi="Calibri"/>
          <w:sz w:val="22"/>
          <w:szCs w:val="22"/>
        </w:rPr>
        <w:t xml:space="preserve">We judge with </w:t>
      </w:r>
      <w:r>
        <w:rPr>
          <w:rFonts w:ascii="Calibri" w:cs="Calibri" w:eastAsia="Calibri" w:hAnsi="Calibri"/>
          <w:b/>
          <w:bCs/>
          <w:sz w:val="22"/>
          <w:szCs w:val="22"/>
        </w:rPr>
        <w:t xml:space="preserve">moderate confidence</w:t>
      </w:r>
      <w:r>
        <w:rPr>
          <w:rFonts w:ascii="Calibri" w:cs="Calibri" w:eastAsia="Calibri" w:hAnsi="Calibri"/>
          <w:sz w:val="22"/>
          <w:szCs w:val="22"/>
        </w:rPr>
        <w:t xml:space="preserve"> that organic amplification by unwitting domestic audiences now exceeds inauthentic amplification by a ratio of approximately 3:1, indicating the campaign has crossed a narrative-laundering threshold. </w:t>
      </w:r>
      <w:r>
        <w:rPr>
          <w:rFonts w:ascii="Calibri" w:cs="Calibri" w:eastAsia="Calibri" w:hAnsi="Calibri"/>
          <w:i/>
          <w:iCs/>
          <w:sz w:val="22"/>
          <w:szCs w:val="22"/>
        </w:rPr>
        <w:t xml:space="preserve">Mollit anim id est laborum.</w:t>
      </w:r>
    </w:p>
    <w:p>
      <w:pPr>
        <w:pStyle w:val="Heading1"/>
        <w:spacing w:after="160" w:before="360"/>
      </w:pPr>
      <w:r>
        <w:rPr>
          <w:rFonts w:ascii="Calibri" w:cs="Calibri" w:eastAsia="Calibri" w:hAnsi="Calibri"/>
          <w:b/>
          <w:bCs/>
          <w:color w:val="1F3864"/>
          <w:sz w:val="32"/>
          <w:szCs w:val="32"/>
        </w:rPr>
        <w:t xml:space="preserve">3. Scope Note</w:t>
      </w:r>
    </w:p>
    <w:p>
      <w:pPr>
        <w:spacing w:after="120" w:line="300"/>
      </w:pPr>
      <w:r>
        <w:rPr>
          <w:rFonts w:ascii="Calibri" w:cs="Calibri" w:eastAsia="Calibri" w:hAnsi="Calibri"/>
          <w:sz w:val="22"/>
          <w:szCs w:val="22"/>
        </w:rPr>
        <w:t xml:space="preserve">This assessment covers open-source and partner-shared reporting between </w:t>
      </w:r>
      <w:r>
        <w:rPr>
          <w:rFonts w:ascii="Calibri" w:cs="Calibri" w:eastAsia="Calibri" w:hAnsi="Calibri"/>
          <w:b/>
          <w:bCs/>
          <w:sz w:val="22"/>
          <w:szCs w:val="22"/>
        </w:rPr>
        <w:t xml:space="preserve">15 March 2026</w:t>
      </w:r>
      <w:r>
        <w:rPr>
          <w:rFonts w:ascii="Calibri" w:cs="Calibri" w:eastAsia="Calibri" w:hAnsi="Calibri"/>
          <w:sz w:val="22"/>
          <w:szCs w:val="22"/>
        </w:rPr>
        <w:t xml:space="preserve"> and </w:t>
      </w:r>
      <w:r>
        <w:rPr>
          <w:rFonts w:ascii="Calibri" w:cs="Calibri" w:eastAsia="Calibri" w:hAnsi="Calibri"/>
          <w:b/>
          <w:bCs/>
          <w:sz w:val="22"/>
          <w:szCs w:val="22"/>
        </w:rPr>
        <w:t xml:space="preserve">18 April 2026</w:t>
      </w:r>
      <w:r>
        <w:rPr>
          <w:rFonts w:ascii="Calibri" w:cs="Calibri" w:eastAsia="Calibri" w:hAnsi="Calibri"/>
          <w:sz w:val="22"/>
          <w:szCs w:val="22"/>
        </w:rPr>
        <w:t xml:space="preserve">. It addresses the tactics, techniques, and procedures (TTPs), infrastructure, narratives, and assessed intent of the DOLOR SIT activity cluster. It does </w:t>
      </w:r>
      <w:r>
        <w:rPr>
          <w:rFonts w:ascii="Calibri" w:cs="Calibri" w:eastAsia="Calibri" w:hAnsi="Calibri"/>
          <w:b/>
          <w:bCs/>
          <w:sz w:val="22"/>
          <w:szCs w:val="22"/>
        </w:rPr>
        <w:t xml:space="preserve">not</w:t>
      </w:r>
      <w:r>
        <w:rPr>
          <w:rFonts w:ascii="Calibri" w:cs="Calibri" w:eastAsia="Calibri" w:hAnsi="Calibri"/>
          <w:sz w:val="22"/>
          <w:szCs w:val="22"/>
        </w:rPr>
        <w:t xml:space="preserve"> address kinetic or cyber-intrusion activity, which are treated in companion products IIR-2026-04-0138 (cyber) and IIR-2026-04-0140 (maritime posture).</w:t>
      </w:r>
    </w:p>
    <w:p>
      <w:pPr>
        <w:spacing w:after="120" w:line="300"/>
      </w:pPr>
      <w:r>
        <w:rPr>
          <w:rFonts w:ascii="Calibri" w:cs="Calibri" w:eastAsia="Calibri" w:hAnsi="Calibri"/>
          <w:b/>
          <w:bCs/>
          <w:sz w:val="22"/>
          <w:szCs w:val="22"/>
        </w:rPr>
        <w:t xml:space="preserve">Assumptions:</w:t>
      </w:r>
    </w:p>
    <w:p>
      <w:pPr>
        <w:pStyle w:val="ListParagraph"/>
        <w:numPr>
          <w:ilvl w:val="0"/>
          <w:numId w:val="3"/>
        </w:numPr>
        <w:spacing w:after="80" w:line="300"/>
      </w:pPr>
      <w:r>
        <w:rPr>
          <w:rFonts w:ascii="Calibri" w:cs="Calibri" w:eastAsia="Calibri" w:hAnsi="Calibri"/>
          <w:sz w:val="22"/>
          <w:szCs w:val="22"/>
        </w:rPr>
        <w:t xml:space="preserve">Lorem ipsum dolor sit amet — platform-provided telemetry is representative of the broader information environment.</w:t>
      </w:r>
    </w:p>
    <w:p>
      <w:pPr>
        <w:pStyle w:val="ListParagraph"/>
        <w:numPr>
          <w:ilvl w:val="0"/>
          <w:numId w:val="3"/>
        </w:numPr>
        <w:spacing w:after="80" w:line="300"/>
      </w:pPr>
      <w:r>
        <w:rPr>
          <w:rFonts w:ascii="Calibri" w:cs="Calibri" w:eastAsia="Calibri" w:hAnsi="Calibri"/>
          <w:sz w:val="22"/>
          <w:szCs w:val="22"/>
        </w:rPr>
        <w:t xml:space="preserve">Consectetur adipiscing elit — attribution indicators have not been deliberately falsified for deception purposes (low-to-moderate confidence in this assumption).</w:t>
      </w:r>
    </w:p>
    <w:p>
      <w:pPr>
        <w:pStyle w:val="Heading1"/>
        <w:spacing w:after="160" w:before="360"/>
      </w:pPr>
      <w:r>
        <w:rPr>
          <w:rFonts w:ascii="Calibri" w:cs="Calibri" w:eastAsia="Calibri" w:hAnsi="Calibri"/>
          <w:b/>
          <w:bCs/>
          <w:color w:val="1F3864"/>
          <w:sz w:val="32"/>
          <w:szCs w:val="32"/>
        </w:rPr>
        <w:t xml:space="preserve">4. Executive Summary</w:t>
      </w:r>
    </w:p>
    <w:p>
      <w:pPr>
        <w:spacing w:after="120" w:line="300"/>
      </w:pPr>
      <w:r>
        <w:rPr>
          <w:rFonts w:ascii="Calibri" w:cs="Calibri" w:eastAsia="Calibri" w:hAnsi="Calibri"/>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line="300"/>
      </w:pPr>
      <w:r>
        <w:rPr>
          <w:rFonts w:ascii="Calibri" w:cs="Calibri" w:eastAsia="Calibri" w:hAnsi="Calibri"/>
          <w:sz w:val="22"/>
          <w:szCs w:val="22"/>
        </w:rPr>
        <w:t xml:space="preserve">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pPr>
        <w:pBdr>
          <w:left w:val="single" w:color="1F3864" w:sz="18" w:space="12"/>
        </w:pBdr>
        <w:spacing w:after="180" w:before="120" w:line="300"/>
        <w:ind w:left="360"/>
      </w:pPr>
      <w:r>
        <w:rPr>
          <w:rFonts w:ascii="Calibri" w:cs="Calibri" w:eastAsia="Calibri" w:hAnsi="Calibri"/>
          <w:i/>
          <w:iCs/>
          <w:color w:val="595959"/>
          <w:sz w:val="22"/>
          <w:szCs w:val="22"/>
        </w:rPr>
        <w:t xml:space="preserve">Analytic Note: Nemo enim ipsam voluptatem quia voluptas sit aspernatur aut odit aut fugit, sed quia consequuntur magni dolores eos qui ratione voluptatem sequi nesciunt.</w:t>
      </w:r>
    </w:p>
    <w:p>
      <w:pPr>
        <w:pStyle w:val="Heading1"/>
        <w:spacing w:after="160" w:before="360"/>
      </w:pPr>
      <w:r>
        <w:rPr>
          <w:rFonts w:ascii="Calibri" w:cs="Calibri" w:eastAsia="Calibri" w:hAnsi="Calibri"/>
          <w:b/>
          <w:bCs/>
          <w:color w:val="1F3864"/>
          <w:sz w:val="32"/>
          <w:szCs w:val="32"/>
        </w:rPr>
        <w:t xml:space="preserve">5. Background</w:t>
      </w:r>
    </w:p>
    <w:p>
      <w:pPr>
        <w:pStyle w:val="Heading2"/>
        <w:spacing w:after="120" w:before="280"/>
      </w:pPr>
      <w:r>
        <w:rPr>
          <w:rFonts w:ascii="Calibri" w:cs="Calibri" w:eastAsia="Calibri" w:hAnsi="Calibri"/>
          <w:b/>
          <w:bCs/>
          <w:color w:val="1F3864"/>
          <w:sz w:val="26"/>
          <w:szCs w:val="26"/>
        </w:rPr>
        <w:t xml:space="preserve">5.1 Historical Context</w:t>
      </w:r>
    </w:p>
    <w:p>
      <w:pPr>
        <w:spacing w:after="120" w:line="300"/>
      </w:pPr>
      <w:r>
        <w:rPr>
          <w:rFonts w:ascii="Calibri" w:cs="Calibri" w:eastAsia="Calibri" w:hAnsi="Calibri"/>
          <w:sz w:val="22"/>
          <w:szCs w:val="22"/>
        </w:rPr>
        <w:t xml:space="preserve">Neque porro quisquam est, qui dolorem ipsum quia dolor sit amet, consectetur, adipisci velit, sed quia non numquam eius modi tempora incidunt. DOLOR SIT was first identified in partner reporting dated </w:t>
      </w:r>
      <w:r>
        <w:rPr>
          <w:rFonts w:ascii="Calibri" w:cs="Calibri" w:eastAsia="Calibri" w:hAnsi="Calibri"/>
          <w:b/>
          <w:bCs/>
          <w:sz w:val="22"/>
          <w:szCs w:val="22"/>
        </w:rPr>
        <w:t xml:space="preserve">November 2024</w:t>
      </w:r>
      <w:r>
        <w:rPr>
          <w:rFonts w:ascii="Calibri" w:cs="Calibri" w:eastAsia="Calibri" w:hAnsi="Calibri"/>
          <w:sz w:val="22"/>
          <w:szCs w:val="22"/>
        </w:rPr>
        <w:t xml:space="preserve"> under the alias cluster “LACUS-7.” Ut labore et dolore magnam aliquam quaerat voluptatem.</w:t>
      </w:r>
    </w:p>
    <w:p>
      <w:pPr>
        <w:pStyle w:val="Heading2"/>
        <w:spacing w:after="120" w:before="280"/>
      </w:pPr>
      <w:r>
        <w:rPr>
          <w:rFonts w:ascii="Calibri" w:cs="Calibri" w:eastAsia="Calibri" w:hAnsi="Calibri"/>
          <w:b/>
          <w:bCs/>
          <w:color w:val="1F3864"/>
          <w:sz w:val="26"/>
          <w:szCs w:val="26"/>
        </w:rPr>
        <w:t xml:space="preserve">5.2 Prior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Report</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Date</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Key Finding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IIR-2024-11-0087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12 Nov 2024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Initial identification of LACUS-7 asset cluster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IIR-2025-03-0221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04 Mar 2025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First cross-platform pivot observed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IIR-2025-09-0104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19 Sep 2025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Attribution baseline established (moderate confidence)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IIR-2026-01-0019</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08 Jan 2026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TTP overlap with known state-aligned actor confirmed</w:t>
            </w:r>
          </w:p>
        </w:tc>
      </w:tr>
    </w:tbl>
    <w:p>
      <w:pPr>
        <w:pStyle w:val="Heading2"/>
        <w:spacing w:after="120" w:before="280"/>
      </w:pPr>
      <w:r>
        <w:rPr>
          <w:rFonts w:ascii="Calibri" w:cs="Calibri" w:eastAsia="Calibri" w:hAnsi="Calibri"/>
          <w:b/>
          <w:bCs/>
          <w:color w:val="1F3864"/>
          <w:sz w:val="26"/>
          <w:szCs w:val="26"/>
        </w:rPr>
        <w:t xml:space="preserve">5.3 Operating Environment</w:t>
      </w:r>
    </w:p>
    <w:p>
      <w:pPr>
        <w:spacing w:after="120" w:line="300"/>
      </w:pPr>
      <w:r>
        <w:rPr>
          <w:rFonts w:ascii="Calibri" w:cs="Calibri" w:eastAsia="Calibri" w:hAnsi="Calibri"/>
          <w:sz w:val="22"/>
          <w:szCs w:val="22"/>
        </w:rPr>
        <w:t xml:space="preserve">Ut enim ad minima veniam, quis nostrum exercitationem ullam corporis suscipit laboriosam, nisi ut aliquid ex ea commodi consequatur. Quis autem vel eum iure reprehenderit qui in ea voluptate velit esse quam nihil molestiae consequatur.</w:t>
      </w:r>
    </w:p>
    <w:p>
      <w:pPr>
        <w:pStyle w:val="Heading1"/>
        <w:spacing w:after="160" w:before="360"/>
      </w:pPr>
      <w:r>
        <w:rPr>
          <w:rFonts w:ascii="Calibri" w:cs="Calibri" w:eastAsia="Calibri" w:hAnsi="Calibri"/>
          <w:b/>
          <w:bCs/>
          <w:color w:val="1F3864"/>
          <w:sz w:val="32"/>
          <w:szCs w:val="32"/>
        </w:rPr>
        <w:t xml:space="preserve">6. Analysis</w:t>
      </w:r>
    </w:p>
    <w:p>
      <w:pPr>
        <w:pStyle w:val="Heading2"/>
        <w:spacing w:after="120" w:before="280"/>
      </w:pPr>
      <w:r>
        <w:rPr>
          <w:rFonts w:ascii="Calibri" w:cs="Calibri" w:eastAsia="Calibri" w:hAnsi="Calibri"/>
          <w:b/>
          <w:bCs/>
          <w:color w:val="1F3864"/>
          <w:sz w:val="26"/>
          <w:szCs w:val="26"/>
        </w:rPr>
        <w:t xml:space="preserve">6.1 Tactics, Techniques, and Procedures (TTPs)</w:t>
      </w:r>
    </w:p>
    <w:p>
      <w:pPr>
        <w:spacing w:after="120" w:line="300"/>
      </w:pPr>
      <w:r>
        <w:rPr>
          <w:rFonts w:ascii="Calibri" w:cs="Calibri" w:eastAsia="Calibri" w:hAnsi="Calibri"/>
          <w:sz w:val="22"/>
          <w:szCs w:val="22"/>
        </w:rPr>
        <w:t xml:space="preserve">The DOLOR SIT cluster exhibits the following TTPs, mapped to the </w:t>
      </w:r>
      <w:r>
        <w:rPr>
          <w:rFonts w:ascii="Calibri" w:cs="Calibri" w:eastAsia="Calibri" w:hAnsi="Calibri"/>
          <w:b/>
          <w:bCs/>
          <w:sz w:val="22"/>
          <w:szCs w:val="22"/>
        </w:rPr>
        <w:t xml:space="preserve">DISARM Framework</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b/>
          <w:bCs/>
          <w:sz w:val="22"/>
          <w:szCs w:val="22"/>
        </w:rPr>
        <w:t xml:space="preserve">T0086 — Develop AI-Generated Text. </w:t>
      </w:r>
      <w:r>
        <w:rPr>
          <w:rFonts w:ascii="Calibri" w:cs="Calibri" w:eastAsia="Calibri" w:hAnsi="Calibri"/>
          <w:sz w:val="22"/>
          <w:szCs w:val="22"/>
        </w:rPr>
        <w:t xml:space="preserve">Lorem ipsum dolor sit amet. Observed across 42% of sampled posts.</w:t>
      </w:r>
    </w:p>
    <w:p>
      <w:pPr>
        <w:pStyle w:val="ListParagraph"/>
        <w:numPr>
          <w:ilvl w:val="0"/>
          <w:numId w:val="2"/>
        </w:numPr>
        <w:spacing w:after="80" w:line="300"/>
      </w:pPr>
      <w:r>
        <w:rPr>
          <w:rFonts w:ascii="Calibri" w:cs="Calibri" w:eastAsia="Calibri" w:hAnsi="Calibri"/>
          <w:b/>
          <w:bCs/>
          <w:sz w:val="22"/>
          <w:szCs w:val="22"/>
        </w:rPr>
        <w:t xml:space="preserve">T0049.003 — Bots Amplify via Automated Forwarding. </w:t>
      </w:r>
      <w:r>
        <w:rPr>
          <w:rFonts w:ascii="Calibri" w:cs="Calibri" w:eastAsia="Calibri" w:hAnsi="Calibri"/>
          <w:sz w:val="22"/>
          <w:szCs w:val="22"/>
        </w:rPr>
        <w:t xml:space="preserve">Consectetur adipiscing elit, with synchronized 11-second posting windows.</w:t>
      </w:r>
    </w:p>
    <w:p>
      <w:pPr>
        <w:pStyle w:val="ListParagraph"/>
        <w:numPr>
          <w:ilvl w:val="0"/>
          <w:numId w:val="2"/>
        </w:numPr>
        <w:spacing w:after="80" w:line="300"/>
      </w:pPr>
      <w:r>
        <w:rPr>
          <w:rFonts w:ascii="Calibri" w:cs="Calibri" w:eastAsia="Calibri" w:hAnsi="Calibri"/>
          <w:b/>
          <w:bCs/>
          <w:sz w:val="22"/>
          <w:szCs w:val="22"/>
        </w:rPr>
        <w:t xml:space="preserve">T0104.001 — Create Cross-Platform Brand. </w:t>
      </w:r>
      <w:r>
        <w:rPr>
          <w:rFonts w:ascii="Calibri" w:cs="Calibri" w:eastAsia="Calibri" w:hAnsi="Calibri"/>
          <w:sz w:val="22"/>
          <w:szCs w:val="22"/>
        </w:rPr>
        <w:t xml:space="preserve">Sed do eiusmod tempor incididunt. Consistent persona naming conventions across four platforms.</w:t>
      </w:r>
    </w:p>
    <w:p>
      <w:pPr>
        <w:pStyle w:val="ListParagraph"/>
        <w:numPr>
          <w:ilvl w:val="0"/>
          <w:numId w:val="2"/>
        </w:numPr>
        <w:spacing w:after="80" w:line="300"/>
      </w:pPr>
      <w:r>
        <w:rPr>
          <w:rFonts w:ascii="Calibri" w:cs="Calibri" w:eastAsia="Calibri" w:hAnsi="Calibri"/>
          <w:b/>
          <w:bCs/>
          <w:sz w:val="22"/>
          <w:szCs w:val="22"/>
        </w:rPr>
        <w:t xml:space="preserve">T0022 — Leverage Existing Narratives. </w:t>
      </w:r>
      <w:r>
        <w:rPr>
          <w:rFonts w:ascii="Calibri" w:cs="Calibri" w:eastAsia="Calibri" w:hAnsi="Calibri"/>
          <w:sz w:val="22"/>
          <w:szCs w:val="22"/>
        </w:rPr>
        <w:t xml:space="preserve">Ut labore et dolore magna aliqua. Co-option of legitimate grievance narratives from domestic civil society.</w:t>
      </w:r>
    </w:p>
    <w:p>
      <w:pPr>
        <w:pStyle w:val="ListParagraph"/>
        <w:numPr>
          <w:ilvl w:val="0"/>
          <w:numId w:val="2"/>
        </w:numPr>
        <w:spacing w:after="80" w:line="300"/>
      </w:pPr>
      <w:r>
        <w:rPr>
          <w:rFonts w:ascii="Calibri" w:cs="Calibri" w:eastAsia="Calibri" w:hAnsi="Calibri"/>
          <w:b/>
          <w:bCs/>
          <w:sz w:val="22"/>
          <w:szCs w:val="22"/>
        </w:rPr>
        <w:t xml:space="preserve">T0059 — Play the Long Game. </w:t>
      </w:r>
      <w:r>
        <w:rPr>
          <w:rFonts w:ascii="Calibri" w:cs="Calibri" w:eastAsia="Calibri" w:hAnsi="Calibri"/>
          <w:sz w:val="22"/>
          <w:szCs w:val="22"/>
        </w:rPr>
        <w:t xml:space="preserve">Assets show dormancy-to-activation patterns consistent with pre-positioned infrastructure.</w:t>
      </w:r>
    </w:p>
    <w:p>
      <w:pPr>
        <w:pStyle w:val="Heading2"/>
        <w:spacing w:after="120" w:before="280"/>
      </w:pPr>
      <w:r>
        <w:rPr>
          <w:rFonts w:ascii="Calibri" w:cs="Calibri" w:eastAsia="Calibri" w:hAnsi="Calibri"/>
          <w:b/>
          <w:bCs/>
          <w:color w:val="1F3864"/>
          <w:sz w:val="26"/>
          <w:szCs w:val="26"/>
        </w:rPr>
        <w:t xml:space="preserve">6.2 Narrative Analysis</w:t>
      </w:r>
    </w:p>
    <w:p>
      <w:pPr>
        <w:spacing w:after="120" w:line="300"/>
      </w:pPr>
      <w:r>
        <w:rPr>
          <w:rFonts w:ascii="Calibri" w:cs="Calibri" w:eastAsia="Calibri" w:hAnsi="Calibri"/>
          <w:sz w:val="22"/>
          <w:szCs w:val="22"/>
        </w:rPr>
        <w:t xml:space="preserve">Three dominant narrative themes were identified through thematic coding of 8,412 sampled posts:</w:t>
      </w:r>
    </w:p>
    <w:p>
      <w:pPr>
        <w:pStyle w:val="ListParagraph"/>
        <w:numPr>
          <w:ilvl w:val="0"/>
          <w:numId w:val="3"/>
        </w:numPr>
        <w:spacing w:after="80" w:line="300"/>
      </w:pPr>
      <w:r>
        <w:rPr>
          <w:rFonts w:ascii="Calibri" w:cs="Calibri" w:eastAsia="Calibri" w:hAnsi="Calibri"/>
          <w:b/>
          <w:bCs/>
          <w:sz w:val="22"/>
          <w:szCs w:val="22"/>
        </w:rPr>
        <w:t xml:space="preserve">Narrative Alpha — “Sovereignty Erosion.” </w:t>
      </w:r>
      <w:r>
        <w:rPr>
          <w:rFonts w:ascii="Calibri" w:cs="Calibri" w:eastAsia="Calibri" w:hAnsi="Calibri"/>
          <w:i/>
          <w:iCs/>
          <w:sz w:val="22"/>
          <w:szCs w:val="22"/>
        </w:rPr>
        <w:t xml:space="preserve">Quis nostrud exercitation ullamco laboris</w:t>
      </w:r>
      <w:r>
        <w:rPr>
          <w:rFonts w:ascii="Calibri" w:cs="Calibri" w:eastAsia="Calibri" w:hAnsi="Calibri"/>
          <w:sz w:val="22"/>
          <w:szCs w:val="22"/>
        </w:rPr>
        <w:t xml:space="preserve"> — alleges that regional security cooperation compromises national sovereignty. Represents ~47% of observed content.</w:t>
      </w:r>
    </w:p>
    <w:p>
      <w:pPr>
        <w:pStyle w:val="ListParagraph"/>
        <w:numPr>
          <w:ilvl w:val="0"/>
          <w:numId w:val="3"/>
        </w:numPr>
        <w:spacing w:after="80" w:line="300"/>
      </w:pPr>
      <w:r>
        <w:rPr>
          <w:rFonts w:ascii="Calibri" w:cs="Calibri" w:eastAsia="Calibri" w:hAnsi="Calibri"/>
          <w:b/>
          <w:bCs/>
          <w:sz w:val="22"/>
          <w:szCs w:val="22"/>
        </w:rPr>
        <w:t xml:space="preserve">Narrative Beta — “Economic Dependency.” </w:t>
      </w:r>
      <w:r>
        <w:rPr>
          <w:rFonts w:ascii="Calibri" w:cs="Calibri" w:eastAsia="Calibri" w:hAnsi="Calibri"/>
          <w:i/>
          <w:iCs/>
          <w:sz w:val="22"/>
          <w:szCs w:val="22"/>
        </w:rPr>
        <w:t xml:space="preserve">Ut aliquip ex ea commodo consequat</w:t>
      </w:r>
      <w:r>
        <w:rPr>
          <w:rFonts w:ascii="Calibri" w:cs="Calibri" w:eastAsia="Calibri" w:hAnsi="Calibri"/>
          <w:sz w:val="22"/>
          <w:szCs w:val="22"/>
        </w:rPr>
        <w:t xml:space="preserve"> — frames cooperation as economic subjugation. Represents ~31% of observed content.</w:t>
      </w:r>
    </w:p>
    <w:p>
      <w:pPr>
        <w:pStyle w:val="ListParagraph"/>
        <w:numPr>
          <w:ilvl w:val="0"/>
          <w:numId w:val="3"/>
        </w:numPr>
        <w:spacing w:after="80" w:line="300"/>
      </w:pPr>
      <w:r>
        <w:rPr>
          <w:rFonts w:ascii="Calibri" w:cs="Calibri" w:eastAsia="Calibri" w:hAnsi="Calibri"/>
          <w:b/>
          <w:bCs/>
          <w:sz w:val="22"/>
          <w:szCs w:val="22"/>
        </w:rPr>
        <w:t xml:space="preserve">Narrative Gamma — “Manufactured Consent.” </w:t>
      </w:r>
      <w:r>
        <w:rPr>
          <w:rFonts w:ascii="Calibri" w:cs="Calibri" w:eastAsia="Calibri" w:hAnsi="Calibri"/>
          <w:i/>
          <w:iCs/>
          <w:sz w:val="22"/>
          <w:szCs w:val="22"/>
        </w:rPr>
        <w:t xml:space="preserve">Duis aute irure dolor</w:t>
      </w:r>
      <w:r>
        <w:rPr>
          <w:rFonts w:ascii="Calibri" w:cs="Calibri" w:eastAsia="Calibri" w:hAnsi="Calibri"/>
          <w:sz w:val="22"/>
          <w:szCs w:val="22"/>
        </w:rPr>
        <w:t xml:space="preserve"> — alleges domestic media is captured by foreign interests. Represents ~18% of observed content.</w:t>
      </w:r>
    </w:p>
    <w:p>
      <w:pPr>
        <w:pStyle w:val="Heading2"/>
        <w:spacing w:after="120" w:before="280"/>
      </w:pPr>
      <w:r>
        <w:rPr>
          <w:rFonts w:ascii="Calibri" w:cs="Calibri" w:eastAsia="Calibri" w:hAnsi="Calibri"/>
          <w:b/>
          <w:bCs/>
          <w:color w:val="1F3864"/>
          <w:sz w:val="26"/>
          <w:szCs w:val="26"/>
        </w:rPr>
        <w:t xml:space="preserve">6.3 Infrastructure and Technical Indicators</w:t>
      </w:r>
    </w:p>
    <w:p>
      <w:pPr>
        <w:spacing w:after="120" w:line="300"/>
      </w:pPr>
      <w:r>
        <w:rPr>
          <w:rFonts w:ascii="Calibri" w:cs="Calibri" w:eastAsia="Calibri" w:hAnsi="Calibri"/>
          <w:sz w:val="22"/>
          <w:szCs w:val="22"/>
        </w:rPr>
        <w:t xml:space="preserve">Lorem ipsum dolor sit amet, consectetur adipiscing elit. Infrastructure analysis reveals the following overlap patterns:</w:t>
      </w:r>
    </w:p>
    <w:p>
      <w:pPr>
        <w:shd w:fill="F2F2F2" w:val="clear"/>
        <w:spacing w:after="0" w:line="260"/>
      </w:pPr>
      <w:r>
        <w:rPr>
          <w:rFonts w:ascii="Consolas" w:cs="Consolas" w:eastAsia="Consolas" w:hAnsi="Consolas"/>
          <w:color w:val="333333"/>
          <w:sz w:val="20"/>
          <w:szCs w:val="20"/>
        </w:rPr>
        <w:t xml:space="preserve">Hosting ASN Clusters:</w:t>
      </w:r>
    </w:p>
    <w:p>
      <w:pPr>
        <w:shd w:fill="F2F2F2" w:val="clear"/>
        <w:spacing w:after="0" w:line="260"/>
      </w:pPr>
      <w:r>
        <w:rPr>
          <w:rFonts w:ascii="Consolas" w:cs="Consolas" w:eastAsia="Consolas" w:hAnsi="Consolas"/>
          <w:color w:val="333333"/>
          <w:sz w:val="20"/>
          <w:szCs w:val="20"/>
        </w:rPr>
        <w:t xml:space="preserve">  - AS-LOREM-1 (47 assets, 13.8%)</w:t>
      </w:r>
    </w:p>
    <w:p>
      <w:pPr>
        <w:shd w:fill="F2F2F2" w:val="clear"/>
        <w:spacing w:after="0" w:line="260"/>
      </w:pPr>
      <w:r>
        <w:rPr>
          <w:rFonts w:ascii="Consolas" w:cs="Consolas" w:eastAsia="Consolas" w:hAnsi="Consolas"/>
          <w:color w:val="333333"/>
          <w:sz w:val="20"/>
          <w:szCs w:val="20"/>
        </w:rPr>
        <w:t xml:space="preserve">  - AS-IPSUM-2 (112 assets, 32.9%)</w:t>
      </w:r>
    </w:p>
    <w:p>
      <w:pPr>
        <w:shd w:fill="F2F2F2" w:val="clear"/>
        <w:spacing w:after="0" w:line="260"/>
      </w:pPr>
      <w:r>
        <w:rPr>
          <w:rFonts w:ascii="Consolas" w:cs="Consolas" w:eastAsia="Consolas" w:hAnsi="Consolas"/>
          <w:color w:val="333333"/>
          <w:sz w:val="20"/>
          <w:szCs w:val="20"/>
        </w:rPr>
        <w:t xml:space="preserve">  - AS-DOLOR-3 (68 assets, 20.0%)</w:t>
      </w:r>
    </w:p>
    <w:p>
      <w:pPr>
        <w:shd w:fill="F2F2F2" w:val="clear"/>
        <w:spacing w:after="0" w:line="260"/>
      </w:pPr>
      <w:r>
        <w:rPr>
          <w:rFonts w:ascii="Consolas" w:cs="Consolas" w:eastAsia="Consolas" w:hAnsi="Consolas"/>
          <w:color w:val="333333"/>
          <w:sz w:val="20"/>
          <w:szCs w:val="20"/>
        </w:rPr>
        <w:t xml:space="preserve"> </w:t>
      </w:r>
    </w:p>
    <w:p>
      <w:pPr>
        <w:shd w:fill="F2F2F2" w:val="clear"/>
        <w:spacing w:after="0" w:line="260"/>
      </w:pPr>
      <w:r>
        <w:rPr>
          <w:rFonts w:ascii="Consolas" w:cs="Consolas" w:eastAsia="Consolas" w:hAnsi="Consolas"/>
          <w:color w:val="333333"/>
          <w:sz w:val="20"/>
          <w:szCs w:val="20"/>
        </w:rPr>
        <w:t xml:space="preserve">Domain Registration Patterns:</w:t>
      </w:r>
    </w:p>
    <w:p>
      <w:pPr>
        <w:shd w:fill="F2F2F2" w:val="clear"/>
        <w:spacing w:after="0" w:line="260"/>
      </w:pPr>
      <w:r>
        <w:rPr>
          <w:rFonts w:ascii="Consolas" w:cs="Consolas" w:eastAsia="Consolas" w:hAnsi="Consolas"/>
          <w:color w:val="333333"/>
          <w:sz w:val="20"/>
          <w:szCs w:val="20"/>
        </w:rPr>
        <w:t xml:space="preserve">  - Bulk registration via 3 reseller fronts</w:t>
      </w:r>
    </w:p>
    <w:p>
      <w:pPr>
        <w:shd w:fill="F2F2F2" w:val="clear"/>
        <w:spacing w:after="0" w:line="260"/>
      </w:pPr>
      <w:r>
        <w:rPr>
          <w:rFonts w:ascii="Consolas" w:cs="Consolas" w:eastAsia="Consolas" w:hAnsi="Consolas"/>
          <w:color w:val="333333"/>
          <w:sz w:val="20"/>
          <w:szCs w:val="20"/>
        </w:rPr>
        <w:t xml:space="preserve">  - Whois privacy on 94% of assets</w:t>
      </w:r>
    </w:p>
    <w:p>
      <w:pPr>
        <w:shd w:fill="F2F2F2" w:val="clear"/>
        <w:spacing w:after="0" w:line="260"/>
      </w:pPr>
      <w:r>
        <w:rPr>
          <w:rFonts w:ascii="Consolas" w:cs="Consolas" w:eastAsia="Consolas" w:hAnsi="Consolas"/>
          <w:color w:val="333333"/>
          <w:sz w:val="20"/>
          <w:szCs w:val="20"/>
        </w:rPr>
        <w:t xml:space="preserve">  - Average domain age at activation: 47 days</w:t>
      </w:r>
    </w:p>
    <w:p>
      <w:pPr>
        <w:shd w:fill="F2F2F2" w:val="clear"/>
        <w:spacing w:after="0" w:line="260"/>
      </w:pPr>
      <w:r>
        <w:rPr>
          <w:rFonts w:ascii="Consolas" w:cs="Consolas" w:eastAsia="Consolas" w:hAnsi="Consolas"/>
          <w:color w:val="333333"/>
          <w:sz w:val="20"/>
          <w:szCs w:val="20"/>
        </w:rPr>
        <w:t xml:space="preserve"> </w:t>
      </w:r>
    </w:p>
    <w:p>
      <w:pPr>
        <w:shd w:fill="F2F2F2" w:val="clear"/>
        <w:spacing w:after="0" w:line="260"/>
      </w:pPr>
      <w:r>
        <w:rPr>
          <w:rFonts w:ascii="Consolas" w:cs="Consolas" w:eastAsia="Consolas" w:hAnsi="Consolas"/>
          <w:color w:val="333333"/>
          <w:sz w:val="20"/>
          <w:szCs w:val="20"/>
        </w:rPr>
        <w:t xml:space="preserve">Shared TLS Fingerprints:</w:t>
      </w:r>
    </w:p>
    <w:p>
      <w:pPr>
        <w:shd w:fill="F2F2F2" w:val="clear"/>
        <w:spacing w:after="0" w:line="260"/>
      </w:pPr>
      <w:r>
        <w:rPr>
          <w:rFonts w:ascii="Consolas" w:cs="Consolas" w:eastAsia="Consolas" w:hAnsi="Consolas"/>
          <w:color w:val="333333"/>
          <w:sz w:val="20"/>
          <w:szCs w:val="20"/>
        </w:rPr>
        <w:t xml:space="preserve">  - JA3: a1b2c3d4e5f6... (observed on 234 assets)</w:t>
      </w:r>
    </w:p>
    <w:p>
      <w:pPr>
        <w:shd w:fill="F2F2F2" w:val="clear"/>
        <w:spacing w:after="0" w:line="260"/>
      </w:pPr>
      <w:r>
        <w:rPr>
          <w:rFonts w:ascii="Consolas" w:cs="Consolas" w:eastAsia="Consolas" w:hAnsi="Consolas"/>
          <w:color w:val="333333"/>
          <w:sz w:val="20"/>
          <w:szCs w:val="20"/>
        </w:rPr>
        <w:t xml:space="preserve">  - JA3S: f6e5d4c3b2a1... (observed on 198 assets)</w:t>
      </w:r>
    </w:p>
    <w:p>
      <w:pPr>
        <w:pStyle w:val="Heading2"/>
        <w:spacing w:after="120" w:before="280"/>
      </w:pPr>
      <w:r>
        <w:rPr>
          <w:rFonts w:ascii="Calibri" w:cs="Calibri" w:eastAsia="Calibri" w:hAnsi="Calibri"/>
          <w:b/>
          <w:bCs/>
          <w:color w:val="1F3864"/>
          <w:sz w:val="26"/>
          <w:szCs w:val="26"/>
        </w:rPr>
        <w:t xml:space="preserve">6.4 Audience and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Platform</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Inauthentic Assets</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Est. Reach (unique)</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Engagement Rate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Platform W</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142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640,000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3.1%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Platform 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98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410,000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2.4%</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Platform 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67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180,000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1.9%</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Platform Z</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33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95,000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4.7%</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Total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340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~1.32 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w:t>
            </w:r>
          </w:p>
        </w:tc>
      </w:tr>
    </w:tbl>
    <w:p>
      <w:pPr>
        <w:pStyle w:val="Heading2"/>
        <w:spacing w:after="120" w:before="280"/>
      </w:pPr>
      <w:r>
        <w:rPr>
          <w:rFonts w:ascii="Calibri" w:cs="Calibri" w:eastAsia="Calibri" w:hAnsi="Calibri"/>
          <w:b/>
          <w:bCs/>
          <w:color w:val="1F3864"/>
          <w:sz w:val="26"/>
          <w:szCs w:val="26"/>
        </w:rPr>
        <w:t xml:space="preserve">6.5 Attribution</w:t>
      </w:r>
    </w:p>
    <w:p>
      <w:pPr>
        <w:spacing w:after="120" w:line="300"/>
      </w:pPr>
      <w:r>
        <w:rPr>
          <w:rFonts w:ascii="Calibri" w:cs="Calibri" w:eastAsia="Calibri" w:hAnsi="Calibri"/>
          <w:i/>
          <w:iCs/>
          <w:sz w:val="22"/>
          <w:szCs w:val="22"/>
        </w:rPr>
        <w:t xml:space="preserve">Sed ut perspiciatis unde omnis iste natus error.</w:t>
      </w:r>
      <w:r>
        <w:rPr>
          <w:rFonts w:ascii="Calibri" w:cs="Calibri" w:eastAsia="Calibri" w:hAnsi="Calibri"/>
          <w:sz w:val="22"/>
          <w:szCs w:val="22"/>
        </w:rPr>
        <w:t xml:space="preserve"> Attribution is assessed at </w:t>
      </w:r>
      <w:r>
        <w:rPr>
          <w:rFonts w:ascii="Calibri" w:cs="Calibri" w:eastAsia="Calibri" w:hAnsi="Calibri"/>
          <w:b/>
          <w:bCs/>
          <w:sz w:val="22"/>
          <w:szCs w:val="22"/>
        </w:rPr>
        <w:t xml:space="preserve">moderate confidence</w:t>
      </w:r>
      <w:r>
        <w:rPr>
          <w:rFonts w:ascii="Calibri" w:cs="Calibri" w:eastAsia="Calibri" w:hAnsi="Calibri"/>
          <w:sz w:val="22"/>
          <w:szCs w:val="22"/>
        </w:rPr>
        <w:t xml:space="preserve"> based on the convergence of:</w:t>
      </w:r>
    </w:p>
    <w:p>
      <w:pPr>
        <w:pStyle w:val="ListParagraph"/>
        <w:numPr>
          <w:ilvl w:val="0"/>
          <w:numId w:val="2"/>
        </w:numPr>
        <w:spacing w:after="80" w:line="300"/>
      </w:pPr>
      <w:r>
        <w:rPr>
          <w:rFonts w:ascii="Calibri" w:cs="Calibri" w:eastAsia="Calibri" w:hAnsi="Calibri"/>
          <w:b/>
          <w:bCs/>
          <w:sz w:val="22"/>
          <w:szCs w:val="22"/>
        </w:rPr>
        <w:t xml:space="preserve">Technical overlap</w:t>
      </w:r>
      <w:r>
        <w:rPr>
          <w:rFonts w:ascii="Calibri" w:cs="Calibri" w:eastAsia="Calibri" w:hAnsi="Calibri"/>
          <w:sz w:val="22"/>
          <w:szCs w:val="22"/>
        </w:rPr>
        <w:t xml:space="preserve"> with previously attributed infrastructure (strong indicator).</w:t>
      </w:r>
    </w:p>
    <w:p>
      <w:pPr>
        <w:pStyle w:val="ListParagraph"/>
        <w:numPr>
          <w:ilvl w:val="0"/>
          <w:numId w:val="2"/>
        </w:numPr>
        <w:spacing w:after="80" w:line="300"/>
      </w:pPr>
      <w:r>
        <w:rPr>
          <w:rFonts w:ascii="Calibri" w:cs="Calibri" w:eastAsia="Calibri" w:hAnsi="Calibri"/>
          <w:b/>
          <w:bCs/>
          <w:sz w:val="22"/>
          <w:szCs w:val="22"/>
        </w:rPr>
        <w:t xml:space="preserve">Linguistic fingerprinting</w:t>
      </w:r>
      <w:r>
        <w:rPr>
          <w:rFonts w:ascii="Calibri" w:cs="Calibri" w:eastAsia="Calibri" w:hAnsi="Calibri"/>
          <w:sz w:val="22"/>
          <w:szCs w:val="22"/>
        </w:rPr>
        <w:t xml:space="preserve"> consistent with non-native authorship of the target language (moderate indicator).</w:t>
      </w:r>
    </w:p>
    <w:p>
      <w:pPr>
        <w:pStyle w:val="ListParagraph"/>
        <w:numPr>
          <w:ilvl w:val="0"/>
          <w:numId w:val="2"/>
        </w:numPr>
        <w:spacing w:after="80" w:line="300"/>
      </w:pPr>
      <w:r>
        <w:rPr>
          <w:rFonts w:ascii="Calibri" w:cs="Calibri" w:eastAsia="Calibri" w:hAnsi="Calibri"/>
          <w:b/>
          <w:bCs/>
          <w:sz w:val="22"/>
          <w:szCs w:val="22"/>
        </w:rPr>
        <w:t xml:space="preserve">Operational cadence</w:t>
      </w:r>
      <w:r>
        <w:rPr>
          <w:rFonts w:ascii="Calibri" w:cs="Calibri" w:eastAsia="Calibri" w:hAnsi="Calibri"/>
          <w:sz w:val="22"/>
          <w:szCs w:val="22"/>
        </w:rPr>
        <w:t xml:space="preserve"> aligned with a specific time zone and national workweek pattern (moderate indicator).</w:t>
      </w:r>
    </w:p>
    <w:p>
      <w:pPr>
        <w:pStyle w:val="ListParagraph"/>
        <w:numPr>
          <w:ilvl w:val="0"/>
          <w:numId w:val="2"/>
        </w:numPr>
        <w:spacing w:after="80" w:line="300"/>
      </w:pPr>
      <w:r>
        <w:rPr>
          <w:rFonts w:ascii="Calibri" w:cs="Calibri" w:eastAsia="Calibri" w:hAnsi="Calibri"/>
          <w:b/>
          <w:bCs/>
          <w:sz w:val="22"/>
          <w:szCs w:val="22"/>
        </w:rPr>
        <w:t xml:space="preserve">Thematic congruence</w:t>
      </w:r>
      <w:r>
        <w:rPr>
          <w:rFonts w:ascii="Calibri" w:cs="Calibri" w:eastAsia="Calibri" w:hAnsi="Calibri"/>
          <w:sz w:val="22"/>
          <w:szCs w:val="22"/>
        </w:rPr>
        <w:t xml:space="preserve"> with known state messaging priorities (supporting indicator).</w:t>
      </w:r>
    </w:p>
    <w:p>
      <w:pPr>
        <w:pStyle w:val="Heading1"/>
        <w:spacing w:after="160" w:before="360"/>
      </w:pPr>
      <w:r>
        <w:rPr>
          <w:rFonts w:ascii="Calibri" w:cs="Calibri" w:eastAsia="Calibri" w:hAnsi="Calibri"/>
          <w:b/>
          <w:bCs/>
          <w:color w:val="1F3864"/>
          <w:sz w:val="32"/>
          <w:szCs w:val="32"/>
        </w:rPr>
        <w:t xml:space="preserve">7. Outlook</w:t>
      </w:r>
    </w:p>
    <w:p>
      <w:pPr>
        <w:spacing w:after="120" w:line="300"/>
      </w:pPr>
      <w:r>
        <w:rPr>
          <w:rFonts w:ascii="Calibri" w:cs="Calibri" w:eastAsia="Calibri" w:hAnsi="Calibri"/>
          <w:sz w:val="22"/>
          <w:szCs w:val="22"/>
        </w:rPr>
        <w:t xml:space="preserve">Over the next </w:t>
      </w:r>
      <w:r>
        <w:rPr>
          <w:rFonts w:ascii="Calibri" w:cs="Calibri" w:eastAsia="Calibri" w:hAnsi="Calibri"/>
          <w:b/>
          <w:bCs/>
          <w:sz w:val="22"/>
          <w:szCs w:val="22"/>
        </w:rPr>
        <w:t xml:space="preserve">60–90 days</w:t>
      </w:r>
      <w:r>
        <w:rPr>
          <w:rFonts w:ascii="Calibri" w:cs="Calibri" w:eastAsia="Calibri" w:hAnsi="Calibri"/>
          <w:sz w:val="22"/>
          <w:szCs w:val="22"/>
        </w:rPr>
        <w:t xml:space="preserve">, we assess the following:</w:t>
      </w:r>
    </w:p>
    <w:p>
      <w:pPr>
        <w:pStyle w:val="ListParagraph"/>
        <w:numPr>
          <w:ilvl w:val="0"/>
          <w:numId w:val="2"/>
        </w:numPr>
        <w:spacing w:after="80" w:line="300"/>
      </w:pPr>
      <w:r>
        <w:rPr>
          <w:rFonts w:ascii="Calibri" w:cs="Calibri" w:eastAsia="Calibri" w:hAnsi="Calibri"/>
          <w:b/>
          <w:bCs/>
          <w:sz w:val="22"/>
          <w:szCs w:val="22"/>
        </w:rPr>
        <w:t xml:space="preserve">Likely (55–80%): </w:t>
      </w:r>
      <w:r>
        <w:rPr>
          <w:rFonts w:ascii="Calibri" w:cs="Calibri" w:eastAsia="Calibri" w:hAnsi="Calibri"/>
          <w:sz w:val="22"/>
          <w:szCs w:val="22"/>
        </w:rPr>
        <w:t xml:space="preserve">DOLOR SIT will expand to at least one additional platform, </w:t>
      </w:r>
      <w:r>
        <w:rPr>
          <w:rFonts w:ascii="Calibri" w:cs="Calibri" w:eastAsia="Calibri" w:hAnsi="Calibri"/>
          <w:i/>
          <w:iCs/>
          <w:sz w:val="22"/>
          <w:szCs w:val="22"/>
        </w:rPr>
        <w:t xml:space="preserve">sed quia consequuntur magni dolores.</w:t>
      </w:r>
    </w:p>
    <w:p>
      <w:pPr>
        <w:pStyle w:val="ListParagraph"/>
        <w:numPr>
          <w:ilvl w:val="0"/>
          <w:numId w:val="2"/>
        </w:numPr>
        <w:spacing w:after="80" w:line="300"/>
      </w:pPr>
      <w:r>
        <w:rPr>
          <w:rFonts w:ascii="Calibri" w:cs="Calibri" w:eastAsia="Calibri" w:hAnsi="Calibri"/>
          <w:b/>
          <w:bCs/>
          <w:sz w:val="22"/>
          <w:szCs w:val="22"/>
        </w:rPr>
        <w:t xml:space="preserve">Roughly Even Chance (45–55%): </w:t>
      </w:r>
      <w:r>
        <w:rPr>
          <w:rFonts w:ascii="Calibri" w:cs="Calibri" w:eastAsia="Calibri" w:hAnsi="Calibri"/>
          <w:sz w:val="22"/>
          <w:szCs w:val="22"/>
        </w:rPr>
        <w:t xml:space="preserve">The operation will attempt to seed content into legitimate domestic media through laundering intermediaries.</w:t>
      </w:r>
    </w:p>
    <w:p>
      <w:pPr>
        <w:pStyle w:val="ListParagraph"/>
        <w:numPr>
          <w:ilvl w:val="0"/>
          <w:numId w:val="2"/>
        </w:numPr>
        <w:spacing w:after="80" w:line="300"/>
      </w:pPr>
      <w:r>
        <w:rPr>
          <w:rFonts w:ascii="Calibri" w:cs="Calibri" w:eastAsia="Calibri" w:hAnsi="Calibri"/>
          <w:b/>
          <w:bCs/>
          <w:sz w:val="22"/>
          <w:szCs w:val="22"/>
        </w:rPr>
        <w:t xml:space="preserve">Unlikely (20–45%): </w:t>
      </w:r>
      <w:r>
        <w:rPr>
          <w:rFonts w:ascii="Calibri" w:cs="Calibri" w:eastAsia="Calibri" w:hAnsi="Calibri"/>
          <w:sz w:val="22"/>
          <w:szCs w:val="22"/>
        </w:rPr>
        <w:t xml:space="preserve">Operators will be publicly exposed by platform trust-and-safety action within the window.</w:t>
      </w:r>
    </w:p>
    <w:p>
      <w:pPr>
        <w:pStyle w:val="ListParagraph"/>
        <w:numPr>
          <w:ilvl w:val="0"/>
          <w:numId w:val="2"/>
        </w:numPr>
        <w:spacing w:after="80" w:line="300"/>
      </w:pPr>
      <w:r>
        <w:rPr>
          <w:rFonts w:ascii="Calibri" w:cs="Calibri" w:eastAsia="Calibri" w:hAnsi="Calibri"/>
          <w:b/>
          <w:bCs/>
          <w:sz w:val="22"/>
          <w:szCs w:val="22"/>
        </w:rPr>
        <w:t xml:space="preserve">Very Unlikely (5–20%): </w:t>
      </w:r>
      <w:r>
        <w:rPr>
          <w:rFonts w:ascii="Calibri" w:cs="Calibri" w:eastAsia="Calibri" w:hAnsi="Calibri"/>
          <w:sz w:val="22"/>
          <w:szCs w:val="22"/>
        </w:rPr>
        <w:t xml:space="preserve">The cluster will be voluntarily deactivated absent external disruption.</w:t>
      </w:r>
    </w:p>
    <w:p>
      <w:pPr>
        <w:pStyle w:val="Heading1"/>
        <w:spacing w:after="160" w:before="360"/>
      </w:pPr>
      <w:r>
        <w:rPr>
          <w:rFonts w:ascii="Calibri" w:cs="Calibri" w:eastAsia="Calibri" w:hAnsi="Calibri"/>
          <w:b/>
          <w:bCs/>
          <w:color w:val="1F3864"/>
          <w:sz w:val="32"/>
          <w:szCs w:val="32"/>
        </w:rPr>
        <w:t xml:space="preserve">8. Intelligence Gaps</w:t>
      </w:r>
    </w:p>
    <w:p>
      <w:pPr>
        <w:spacing w:after="120" w:line="300"/>
      </w:pPr>
      <w:r>
        <w:rPr>
          <w:rFonts w:ascii="Calibri" w:cs="Calibri" w:eastAsia="Calibri" w:hAnsi="Calibri"/>
          <w:sz w:val="22"/>
          <w:szCs w:val="22"/>
        </w:rPr>
        <w:t xml:space="preserve">The following gaps constrain analytic confidence and should be prioritized for collection:</w:t>
      </w:r>
    </w:p>
    <w:p>
      <w:pPr>
        <w:pStyle w:val="ListParagraph"/>
        <w:numPr>
          <w:ilvl w:val="0"/>
          <w:numId w:val="3"/>
        </w:numPr>
        <w:spacing w:after="80" w:line="300"/>
      </w:pPr>
      <w:r>
        <w:rPr>
          <w:rFonts w:ascii="Calibri" w:cs="Calibri" w:eastAsia="Calibri" w:hAnsi="Calibri"/>
          <w:b/>
          <w:bCs/>
          <w:sz w:val="22"/>
          <w:szCs w:val="22"/>
        </w:rPr>
        <w:t xml:space="preserve">GAP-1: </w:t>
      </w:r>
      <w:r>
        <w:rPr>
          <w:rFonts w:ascii="Calibri" w:cs="Calibri" w:eastAsia="Calibri" w:hAnsi="Calibri"/>
          <w:i/>
          <w:iCs/>
          <w:sz w:val="22"/>
          <w:szCs w:val="22"/>
        </w:rPr>
        <w:t xml:space="preserve">Neque porro quisquam est qui dolorem ipsum.</w:t>
      </w:r>
      <w:r>
        <w:rPr>
          <w:rFonts w:ascii="Calibri" w:cs="Calibri" w:eastAsia="Calibri" w:hAnsi="Calibri"/>
          <w:sz w:val="22"/>
          <w:szCs w:val="22"/>
        </w:rPr>
        <w:t xml:space="preserve"> Identity and organizational placement of the operational tasking node.</w:t>
      </w:r>
    </w:p>
    <w:p>
      <w:pPr>
        <w:pStyle w:val="ListParagraph"/>
        <w:numPr>
          <w:ilvl w:val="0"/>
          <w:numId w:val="3"/>
        </w:numPr>
        <w:spacing w:after="80" w:line="300"/>
      </w:pPr>
      <w:r>
        <w:rPr>
          <w:rFonts w:ascii="Calibri" w:cs="Calibri" w:eastAsia="Calibri" w:hAnsi="Calibri"/>
          <w:b/>
          <w:bCs/>
          <w:sz w:val="22"/>
          <w:szCs w:val="22"/>
        </w:rPr>
        <w:t xml:space="preserve">GAP-2: </w:t>
      </w:r>
      <w:r>
        <w:rPr>
          <w:rFonts w:ascii="Calibri" w:cs="Calibri" w:eastAsia="Calibri" w:hAnsi="Calibri"/>
          <w:i/>
          <w:iCs/>
          <w:sz w:val="22"/>
          <w:szCs w:val="22"/>
        </w:rPr>
        <w:t xml:space="preserve">Quis autem vel eum iure reprehenderit.</w:t>
      </w:r>
      <w:r>
        <w:rPr>
          <w:rFonts w:ascii="Calibri" w:cs="Calibri" w:eastAsia="Calibri" w:hAnsi="Calibri"/>
          <w:sz w:val="22"/>
          <w:szCs w:val="22"/>
        </w:rPr>
        <w:t xml:space="preserve"> Funding and financial infrastructure supporting the campaign.</w:t>
      </w:r>
    </w:p>
    <w:p>
      <w:pPr>
        <w:pStyle w:val="ListParagraph"/>
        <w:numPr>
          <w:ilvl w:val="0"/>
          <w:numId w:val="3"/>
        </w:numPr>
        <w:spacing w:after="80" w:line="300"/>
      </w:pPr>
      <w:r>
        <w:rPr>
          <w:rFonts w:ascii="Calibri" w:cs="Calibri" w:eastAsia="Calibri" w:hAnsi="Calibri"/>
          <w:b/>
          <w:bCs/>
          <w:sz w:val="22"/>
          <w:szCs w:val="22"/>
        </w:rPr>
        <w:t xml:space="preserve">GAP-3: </w:t>
      </w:r>
      <w:r>
        <w:rPr>
          <w:rFonts w:ascii="Calibri" w:cs="Calibri" w:eastAsia="Calibri" w:hAnsi="Calibri"/>
          <w:i/>
          <w:iCs/>
          <w:sz w:val="22"/>
          <w:szCs w:val="22"/>
        </w:rPr>
        <w:t xml:space="preserve">Ut enim ad minima veniam.</w:t>
      </w:r>
      <w:r>
        <w:rPr>
          <w:rFonts w:ascii="Calibri" w:cs="Calibri" w:eastAsia="Calibri" w:hAnsi="Calibri"/>
          <w:sz w:val="22"/>
          <w:szCs w:val="22"/>
        </w:rPr>
        <w:t xml:space="preserve"> Relationship, if any, between DOLOR SIT operators and known cyber-intrusion units.</w:t>
      </w:r>
    </w:p>
    <w:p>
      <w:pPr>
        <w:pStyle w:val="ListParagraph"/>
        <w:numPr>
          <w:ilvl w:val="0"/>
          <w:numId w:val="3"/>
        </w:numPr>
        <w:spacing w:after="80" w:line="300"/>
      </w:pPr>
      <w:r>
        <w:rPr>
          <w:rFonts w:ascii="Calibri" w:cs="Calibri" w:eastAsia="Calibri" w:hAnsi="Calibri"/>
          <w:b/>
          <w:bCs/>
          <w:sz w:val="22"/>
          <w:szCs w:val="22"/>
        </w:rPr>
        <w:t xml:space="preserve">GAP-4: </w:t>
      </w:r>
      <w:r>
        <w:rPr>
          <w:rFonts w:ascii="Calibri" w:cs="Calibri" w:eastAsia="Calibri" w:hAnsi="Calibri"/>
          <w:sz w:val="22"/>
          <w:szCs w:val="22"/>
        </w:rPr>
        <w:t xml:space="preserve">Ground-truth measurement of narrative uptake among targeted demographic segments.</w:t>
      </w:r>
    </w:p>
    <w:p>
      <w:pPr>
        <w:pStyle w:val="Heading1"/>
        <w:spacing w:after="160" w:before="360"/>
      </w:pPr>
      <w:r>
        <w:rPr>
          <w:rFonts w:ascii="Calibri" w:cs="Calibri" w:eastAsia="Calibri" w:hAnsi="Calibri"/>
          <w:b/>
          <w:bCs/>
          <w:color w:val="1F3864"/>
          <w:sz w:val="32"/>
          <w:szCs w:val="32"/>
        </w:rPr>
        <w:t xml:space="preserve">9. Implications and Recommendations</w:t>
      </w:r>
    </w:p>
    <w:p>
      <w:pPr>
        <w:pStyle w:val="Heading2"/>
        <w:spacing w:after="120" w:before="280"/>
      </w:pPr>
      <w:r>
        <w:rPr>
          <w:rFonts w:ascii="Calibri" w:cs="Calibri" w:eastAsia="Calibri" w:hAnsi="Calibri"/>
          <w:b/>
          <w:bCs/>
          <w:color w:val="1F3864"/>
          <w:sz w:val="26"/>
          <w:szCs w:val="26"/>
        </w:rPr>
        <w:t xml:space="preserve">9.1 Implications</w:t>
      </w:r>
    </w:p>
    <w:p>
      <w:pPr>
        <w:spacing w:after="120" w:line="300"/>
      </w:pPr>
      <w:r>
        <w:rPr>
          <w:rFonts w:ascii="Calibri" w:cs="Calibri" w:eastAsia="Calibri" w:hAnsi="Calibri"/>
          <w:sz w:val="22"/>
          <w:szCs w:val="22"/>
        </w:rPr>
        <w:t xml:space="preserve">Lorem ipsum dolor sit amet, consectetur adipiscing elit. If left undisrupted, DOLOR SIT’s narrative-laundering threshold is likely to produce measurable shifts in domestic polling on regional cooperation within two to three reporting quarters.</w:t>
      </w:r>
    </w:p>
    <w:p>
      <w:pPr>
        <w:pStyle w:val="Heading2"/>
        <w:spacing w:after="120" w:before="280"/>
      </w:pPr>
      <w:r>
        <w:rPr>
          <w:rFonts w:ascii="Calibri" w:cs="Calibri" w:eastAsia="Calibri" w:hAnsi="Calibri"/>
          <w:b/>
          <w:bCs/>
          <w:color w:val="1F3864"/>
          <w:sz w:val="26"/>
          <w:szCs w:val="26"/>
        </w:rPr>
        <w:t xml:space="preserve">9.2 Recommendations</w:t>
      </w:r>
    </w:p>
    <w:p>
      <w:pPr>
        <w:pStyle w:val="ListParagraph"/>
        <w:numPr>
          <w:ilvl w:val="0"/>
          <w:numId w:val="2"/>
        </w:numPr>
        <w:spacing w:after="80" w:line="300"/>
      </w:pPr>
      <w:r>
        <w:rPr>
          <w:rFonts w:ascii="Calibri" w:cs="Calibri" w:eastAsia="Calibri" w:hAnsi="Calibri"/>
          <w:b/>
          <w:bCs/>
          <w:sz w:val="22"/>
          <w:szCs w:val="22"/>
        </w:rPr>
        <w:t xml:space="preserve">R-1 (Collection): </w:t>
      </w:r>
      <w:r>
        <w:rPr>
          <w:rFonts w:ascii="Calibri" w:cs="Calibri" w:eastAsia="Calibri" w:hAnsi="Calibri"/>
          <w:i/>
          <w:iCs/>
          <w:sz w:val="22"/>
          <w:szCs w:val="22"/>
        </w:rPr>
        <w:t xml:space="preserve">Prioritize HUMINT and SIGINT collection against GAP-1 and GAP-2.</w:t>
      </w:r>
    </w:p>
    <w:p>
      <w:pPr>
        <w:pStyle w:val="ListParagraph"/>
        <w:numPr>
          <w:ilvl w:val="0"/>
          <w:numId w:val="2"/>
        </w:numPr>
        <w:spacing w:after="80" w:line="300"/>
      </w:pPr>
      <w:r>
        <w:rPr>
          <w:rFonts w:ascii="Calibri" w:cs="Calibri" w:eastAsia="Calibri" w:hAnsi="Calibri"/>
          <w:b/>
          <w:bCs/>
          <w:sz w:val="22"/>
          <w:szCs w:val="22"/>
        </w:rPr>
        <w:t xml:space="preserve">R-2 (Analytic): </w:t>
      </w:r>
      <w:r>
        <w:rPr>
          <w:rFonts w:ascii="Calibri" w:cs="Calibri" w:eastAsia="Calibri" w:hAnsi="Calibri"/>
          <w:i/>
          <w:iCs/>
          <w:sz w:val="22"/>
          <w:szCs w:val="22"/>
        </w:rPr>
        <w:t xml:space="preserve">Establish a recurring 30-day narrative-tracking product with partner cell.</w:t>
      </w:r>
    </w:p>
    <w:p>
      <w:pPr>
        <w:pStyle w:val="ListParagraph"/>
        <w:numPr>
          <w:ilvl w:val="0"/>
          <w:numId w:val="2"/>
        </w:numPr>
        <w:spacing w:after="80" w:line="300"/>
      </w:pPr>
      <w:r>
        <w:rPr>
          <w:rFonts w:ascii="Calibri" w:cs="Calibri" w:eastAsia="Calibri" w:hAnsi="Calibri"/>
          <w:b/>
          <w:bCs/>
          <w:sz w:val="22"/>
          <w:szCs w:val="22"/>
        </w:rPr>
        <w:t xml:space="preserve">R-3 (Engagement): </w:t>
      </w:r>
      <w:r>
        <w:rPr>
          <w:rFonts w:ascii="Calibri" w:cs="Calibri" w:eastAsia="Calibri" w:hAnsi="Calibri"/>
          <w:i/>
          <w:iCs/>
          <w:sz w:val="22"/>
          <w:szCs w:val="22"/>
        </w:rPr>
        <w:t xml:space="preserve">Coordinate pre-briefing to platform trust-and-safety teams under established disclosure framework.</w:t>
      </w:r>
    </w:p>
    <w:p>
      <w:pPr>
        <w:pStyle w:val="ListParagraph"/>
        <w:numPr>
          <w:ilvl w:val="0"/>
          <w:numId w:val="2"/>
        </w:numPr>
        <w:spacing w:after="80" w:line="300"/>
      </w:pPr>
      <w:r>
        <w:rPr>
          <w:rFonts w:ascii="Calibri" w:cs="Calibri" w:eastAsia="Calibri" w:hAnsi="Calibri"/>
          <w:b/>
          <w:bCs/>
          <w:sz w:val="22"/>
          <w:szCs w:val="22"/>
        </w:rPr>
        <w:t xml:space="preserve">R-4 (Strategic Communication): </w:t>
      </w:r>
      <w:r>
        <w:rPr>
          <w:rFonts w:ascii="Calibri" w:cs="Calibri" w:eastAsia="Calibri" w:hAnsi="Calibri"/>
          <w:i/>
          <w:iCs/>
          <w:sz w:val="22"/>
          <w:szCs w:val="22"/>
        </w:rPr>
        <w:t xml:space="preserve">Support partner government pre-bunking campaign ahead of Q3 ministerial summit.</w:t>
      </w:r>
    </w:p>
    <w:p>
      <w:pPr>
        <w:pStyle w:val="Heading1"/>
        <w:spacing w:after="160" w:before="360"/>
      </w:pPr>
      <w:r>
        <w:rPr>
          <w:rFonts w:ascii="Calibri" w:cs="Calibri" w:eastAsia="Calibri" w:hAnsi="Calibri"/>
          <w:b/>
          <w:bCs/>
          <w:color w:val="1F3864"/>
          <w:sz w:val="32"/>
          <w:szCs w:val="32"/>
        </w:rPr>
        <w:t xml:space="preserve">10. Source Summary Statement</w:t>
      </w:r>
    </w:p>
    <w:p>
      <w:pPr>
        <w:spacing w:after="120" w:line="300"/>
      </w:pPr>
      <w:r>
        <w:rPr>
          <w:rFonts w:ascii="Calibri" w:cs="Calibri" w:eastAsia="Calibri" w:hAnsi="Calibri"/>
          <w:sz w:val="22"/>
          <w:szCs w:val="22"/>
        </w:rPr>
        <w:t xml:space="preserve">This product is based on a combination of open-source collection, platform-provided telemetry, and liaison reporting from two partner services. Source reliability is graded per the </w:t>
      </w:r>
      <w:r>
        <w:rPr>
          <w:rFonts w:ascii="Calibri" w:cs="Calibri" w:eastAsia="Calibri" w:hAnsi="Calibri"/>
          <w:b/>
          <w:bCs/>
          <w:sz w:val="22"/>
          <w:szCs w:val="22"/>
        </w:rPr>
        <w:t xml:space="preserve">Admiralty System (NATO STANAG 2511)</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Source ID</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Reliability</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Credibility</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Nature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OSINT-A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A — Completely reliable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1 — Confirmed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Platform-published transparency data</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OSINT-B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B — Usually reliable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2 — Probably true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Academic research consortium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LIAISON-1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B — Usually reliable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2 — Probably true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Partner service reporting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LIAISON-2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C — Fairly reliable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3 — Possibly true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Partner service reporting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TECHINT-1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B — Usually reliable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2 — Probably true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Proprietary infrastructure telemetry</w:t>
            </w:r>
          </w:p>
        </w:tc>
      </w:tr>
    </w:tbl>
    <w:p>
      <w:pPr>
        <w:spacing w:after="120" w:line="300"/>
      </w:pPr>
      <w:r>
        <w:rPr>
          <w:rFonts w:ascii="Calibri" w:cs="Calibri" w:eastAsia="Calibri" w:hAnsi="Calibri"/>
          <w:sz w:val="22"/>
          <w:szCs w:val="22"/>
        </w:rPr>
        <w:t xml:space="preserve">Overall source base is assessed as </w:t>
      </w:r>
      <w:r>
        <w:rPr>
          <w:rFonts w:ascii="Calibri" w:cs="Calibri" w:eastAsia="Calibri" w:hAnsi="Calibri"/>
          <w:b/>
          <w:bCs/>
          <w:sz w:val="22"/>
          <w:szCs w:val="22"/>
        </w:rPr>
        <w:t xml:space="preserve">adequate but not decisive</w:t>
      </w:r>
      <w:r>
        <w:rPr>
          <w:rFonts w:ascii="Calibri" w:cs="Calibri" w:eastAsia="Calibri" w:hAnsi="Calibri"/>
          <w:sz w:val="22"/>
          <w:szCs w:val="22"/>
        </w:rPr>
        <w:t xml:space="preserve">; key judgments have been stress-tested through structured analytic techniques including </w:t>
      </w:r>
      <w:r>
        <w:rPr>
          <w:rFonts w:ascii="Calibri" w:cs="Calibri" w:eastAsia="Calibri" w:hAnsi="Calibri"/>
          <w:b/>
          <w:bCs/>
          <w:sz w:val="22"/>
          <w:szCs w:val="22"/>
        </w:rPr>
        <w:t xml:space="preserve">Analysis of Competing Hypotheses (ACH)</w:t>
      </w:r>
      <w:r>
        <w:rPr>
          <w:rFonts w:ascii="Calibri" w:cs="Calibri" w:eastAsia="Calibri" w:hAnsi="Calibri"/>
          <w:sz w:val="22"/>
          <w:szCs w:val="22"/>
        </w:rPr>
        <w:t xml:space="preserve"> and </w:t>
      </w:r>
      <w:r>
        <w:rPr>
          <w:rFonts w:ascii="Calibri" w:cs="Calibri" w:eastAsia="Calibri" w:hAnsi="Calibri"/>
          <w:b/>
          <w:bCs/>
          <w:sz w:val="22"/>
          <w:szCs w:val="22"/>
        </w:rPr>
        <w:t xml:space="preserve">Key Assumptions Check</w:t>
      </w:r>
      <w:r>
        <w:rPr>
          <w:rFonts w:ascii="Calibri" w:cs="Calibri" w:eastAsia="Calibri" w:hAnsi="Calibri"/>
          <w:sz w:val="22"/>
          <w:szCs w:val="22"/>
        </w:rPr>
        <w:t xml:space="preserve">.</w:t>
      </w:r>
    </w:p>
    <w:p>
      <w:pPr>
        <w:pStyle w:val="Heading1"/>
        <w:spacing w:after="160" w:before="360"/>
      </w:pPr>
      <w:r>
        <w:rPr>
          <w:rFonts w:ascii="Calibri" w:cs="Calibri" w:eastAsia="Calibri" w:hAnsi="Calibri"/>
          <w:b/>
          <w:bCs/>
          <w:color w:val="1F3864"/>
          <w:sz w:val="32"/>
          <w:szCs w:val="32"/>
        </w:rPr>
        <w:t xml:space="preserve">11. Annexes</w:t>
      </w:r>
    </w:p>
    <w:p>
      <w:pPr>
        <w:pStyle w:val="Heading2"/>
        <w:spacing w:after="120" w:before="280"/>
      </w:pPr>
      <w:r>
        <w:rPr>
          <w:rFonts w:ascii="Calibri" w:cs="Calibri" w:eastAsia="Calibri" w:hAnsi="Calibri"/>
          <w:b/>
          <w:bCs/>
          <w:color w:val="1F3864"/>
          <w:sz w:val="26"/>
          <w:szCs w:val="26"/>
        </w:rPr>
        <w:t xml:space="preserve">Annex A — Indicators of Compromise (IOCs)</w:t>
      </w:r>
    </w:p>
    <w:p>
      <w:pPr>
        <w:shd w:fill="F2F2F2" w:val="clear"/>
        <w:spacing w:after="0" w:line="260"/>
      </w:pPr>
      <w:r>
        <w:rPr>
          <w:rFonts w:ascii="Consolas" w:cs="Consolas" w:eastAsia="Consolas" w:hAnsi="Consolas"/>
          <w:color w:val="333333"/>
          <w:sz w:val="20"/>
          <w:szCs w:val="20"/>
        </w:rPr>
        <w:t xml:space="preserve">domains:</w:t>
      </w:r>
    </w:p>
    <w:p>
      <w:pPr>
        <w:shd w:fill="F2F2F2" w:val="clear"/>
        <w:spacing w:after="0" w:line="260"/>
      </w:pPr>
      <w:r>
        <w:rPr>
          <w:rFonts w:ascii="Consolas" w:cs="Consolas" w:eastAsia="Consolas" w:hAnsi="Consolas"/>
          <w:color w:val="333333"/>
          <w:sz w:val="20"/>
          <w:szCs w:val="20"/>
        </w:rPr>
        <w:t xml:space="preserve">  - lorem-news-daily[.]example</w:t>
      </w:r>
    </w:p>
    <w:p>
      <w:pPr>
        <w:shd w:fill="F2F2F2" w:val="clear"/>
        <w:spacing w:after="0" w:line="260"/>
      </w:pPr>
      <w:r>
        <w:rPr>
          <w:rFonts w:ascii="Consolas" w:cs="Consolas" w:eastAsia="Consolas" w:hAnsi="Consolas"/>
          <w:color w:val="333333"/>
          <w:sz w:val="20"/>
          <w:szCs w:val="20"/>
        </w:rPr>
        <w:t xml:space="preserve">  - ipsum-voice[.]example</w:t>
      </w:r>
    </w:p>
    <w:p>
      <w:pPr>
        <w:shd w:fill="F2F2F2" w:val="clear"/>
        <w:spacing w:after="0" w:line="260"/>
      </w:pPr>
      <w:r>
        <w:rPr>
          <w:rFonts w:ascii="Consolas" w:cs="Consolas" w:eastAsia="Consolas" w:hAnsi="Consolas"/>
          <w:color w:val="333333"/>
          <w:sz w:val="20"/>
          <w:szCs w:val="20"/>
        </w:rPr>
        <w:t xml:space="preserve">  - dolor-tribune[.]example</w:t>
      </w:r>
    </w:p>
    <w:p>
      <w:pPr>
        <w:shd w:fill="F2F2F2" w:val="clear"/>
        <w:spacing w:after="0" w:line="260"/>
      </w:pPr>
      <w:r>
        <w:rPr>
          <w:rFonts w:ascii="Consolas" w:cs="Consolas" w:eastAsia="Consolas" w:hAnsi="Consolas"/>
          <w:color w:val="333333"/>
          <w:sz w:val="20"/>
          <w:szCs w:val="20"/>
        </w:rPr>
        <w:t xml:space="preserve">  - sit-amet-observer[.]example</w:t>
      </w:r>
    </w:p>
    <w:p>
      <w:pPr>
        <w:shd w:fill="F2F2F2" w:val="clear"/>
        <w:spacing w:after="0" w:line="260"/>
      </w:pPr>
      <w:r>
        <w:rPr>
          <w:rFonts w:ascii="Consolas" w:cs="Consolas" w:eastAsia="Consolas" w:hAnsi="Consolas"/>
          <w:color w:val="333333"/>
          <w:sz w:val="20"/>
          <w:szCs w:val="20"/>
        </w:rPr>
        <w:t xml:space="preserve"> </w:t>
      </w:r>
    </w:p>
    <w:p>
      <w:pPr>
        <w:shd w:fill="F2F2F2" w:val="clear"/>
        <w:spacing w:after="0" w:line="260"/>
      </w:pPr>
      <w:r>
        <w:rPr>
          <w:rFonts w:ascii="Consolas" w:cs="Consolas" w:eastAsia="Consolas" w:hAnsi="Consolas"/>
          <w:color w:val="333333"/>
          <w:sz w:val="20"/>
          <w:szCs w:val="20"/>
        </w:rPr>
        <w:t xml:space="preserve">personas_handles:</w:t>
      </w:r>
    </w:p>
    <w:p>
      <w:pPr>
        <w:shd w:fill="F2F2F2" w:val="clear"/>
        <w:spacing w:after="0" w:line="260"/>
      </w:pPr>
      <w:r>
        <w:rPr>
          <w:rFonts w:ascii="Consolas" w:cs="Consolas" w:eastAsia="Consolas" w:hAnsi="Consolas"/>
          <w:color w:val="333333"/>
          <w:sz w:val="20"/>
          <w:szCs w:val="20"/>
        </w:rPr>
        <w:t xml:space="preserve">  - "@LoremWatcher_24"</w:t>
      </w:r>
    </w:p>
    <w:p>
      <w:pPr>
        <w:shd w:fill="F2F2F2" w:val="clear"/>
        <w:spacing w:after="0" w:line="260"/>
      </w:pPr>
      <w:r>
        <w:rPr>
          <w:rFonts w:ascii="Consolas" w:cs="Consolas" w:eastAsia="Consolas" w:hAnsi="Consolas"/>
          <w:color w:val="333333"/>
          <w:sz w:val="20"/>
          <w:szCs w:val="20"/>
        </w:rPr>
        <w:t xml:space="preserve">  - "@IpsumVoice_Regional"</w:t>
      </w:r>
    </w:p>
    <w:p>
      <w:pPr>
        <w:shd w:fill="F2F2F2" w:val="clear"/>
        <w:spacing w:after="0" w:line="260"/>
      </w:pPr>
      <w:r>
        <w:rPr>
          <w:rFonts w:ascii="Consolas" w:cs="Consolas" w:eastAsia="Consolas" w:hAnsi="Consolas"/>
          <w:color w:val="333333"/>
          <w:sz w:val="20"/>
          <w:szCs w:val="20"/>
        </w:rPr>
        <w:t xml:space="preserve">  - "@DolorReporter"</w:t>
      </w:r>
    </w:p>
    <w:p>
      <w:pPr>
        <w:shd w:fill="F2F2F2" w:val="clear"/>
        <w:spacing w:after="0" w:line="260"/>
      </w:pPr>
      <w:r>
        <w:rPr>
          <w:rFonts w:ascii="Consolas" w:cs="Consolas" w:eastAsia="Consolas" w:hAnsi="Consolas"/>
          <w:color w:val="333333"/>
          <w:sz w:val="20"/>
          <w:szCs w:val="20"/>
        </w:rPr>
        <w:t xml:space="preserve"> </w:t>
      </w:r>
    </w:p>
    <w:p>
      <w:pPr>
        <w:shd w:fill="F2F2F2" w:val="clear"/>
        <w:spacing w:after="0" w:line="260"/>
      </w:pPr>
      <w:r>
        <w:rPr>
          <w:rFonts w:ascii="Consolas" w:cs="Consolas" w:eastAsia="Consolas" w:hAnsi="Consolas"/>
          <w:color w:val="333333"/>
          <w:sz w:val="20"/>
          <w:szCs w:val="20"/>
        </w:rPr>
        <w:t xml:space="preserve">ja3_hashes:</w:t>
      </w:r>
    </w:p>
    <w:p>
      <w:pPr>
        <w:shd w:fill="F2F2F2" w:val="clear"/>
        <w:spacing w:after="0" w:line="260"/>
      </w:pPr>
      <w:r>
        <w:rPr>
          <w:rFonts w:ascii="Consolas" w:cs="Consolas" w:eastAsia="Consolas" w:hAnsi="Consolas"/>
          <w:color w:val="333333"/>
          <w:sz w:val="20"/>
          <w:szCs w:val="20"/>
        </w:rPr>
        <w:t xml:space="preserve">  - a1b2c3d4e5f6a7b8c9d0e1f2a3b4c5d6</w:t>
      </w:r>
    </w:p>
    <w:p>
      <w:pPr>
        <w:shd w:fill="F2F2F2" w:val="clear"/>
        <w:spacing w:after="0" w:line="260"/>
      </w:pPr>
      <w:r>
        <w:rPr>
          <w:rFonts w:ascii="Consolas" w:cs="Consolas" w:eastAsia="Consolas" w:hAnsi="Consolas"/>
          <w:color w:val="333333"/>
          <w:sz w:val="20"/>
          <w:szCs w:val="20"/>
        </w:rPr>
        <w:t xml:space="preserve">  - f6e5d4c3b2a1f0e9d8c7b6a5f4e3d2c1</w:t>
      </w:r>
    </w:p>
    <w:p>
      <w:pPr>
        <w:shd w:fill="F2F2F2" w:val="clear"/>
        <w:spacing w:after="0" w:line="260"/>
      </w:pPr>
      <w:r>
        <w:rPr>
          <w:rFonts w:ascii="Consolas" w:cs="Consolas" w:eastAsia="Consolas" w:hAnsi="Consolas"/>
          <w:color w:val="333333"/>
          <w:sz w:val="20"/>
          <w:szCs w:val="20"/>
        </w:rPr>
        <w:t xml:space="preserve"> </w:t>
      </w:r>
    </w:p>
    <w:p>
      <w:pPr>
        <w:shd w:fill="F2F2F2" w:val="clear"/>
        <w:spacing w:after="0" w:line="260"/>
      </w:pPr>
      <w:r>
        <w:rPr>
          <w:rFonts w:ascii="Consolas" w:cs="Consolas" w:eastAsia="Consolas" w:hAnsi="Consolas"/>
          <w:color w:val="333333"/>
          <w:sz w:val="20"/>
          <w:szCs w:val="20"/>
        </w:rPr>
        <w:t xml:space="preserve">email_tradecraft:</w:t>
      </w:r>
    </w:p>
    <w:p>
      <w:pPr>
        <w:shd w:fill="F2F2F2" w:val="clear"/>
        <w:spacing w:after="0" w:line="260"/>
      </w:pPr>
      <w:r>
        <w:rPr>
          <w:rFonts w:ascii="Consolas" w:cs="Consolas" w:eastAsia="Consolas" w:hAnsi="Consolas"/>
          <w:color w:val="333333"/>
          <w:sz w:val="20"/>
          <w:szCs w:val="20"/>
        </w:rPr>
        <w:t xml:space="preserve">  - pattern: "{word}.{word}{2digits}@protonmail.com"</w:t>
      </w:r>
    </w:p>
    <w:p>
      <w:pPr>
        <w:shd w:fill="F2F2F2" w:val="clear"/>
        <w:spacing w:after="0" w:line="260"/>
      </w:pPr>
      <w:r>
        <w:rPr>
          <w:rFonts w:ascii="Consolas" w:cs="Consolas" w:eastAsia="Consolas" w:hAnsi="Consolas"/>
          <w:color w:val="333333"/>
          <w:sz w:val="20"/>
          <w:szCs w:val="20"/>
        </w:rPr>
        <w:t xml:space="preserve">  - registration_burst: "2025-09-14 to 2025-09-19"</w:t>
      </w:r>
    </w:p>
    <w:p>
      <w:pPr>
        <w:pStyle w:val="Heading2"/>
        <w:spacing w:after="120" w:before="280"/>
      </w:pPr>
      <w:r>
        <w:rPr>
          <w:rFonts w:ascii="Calibri" w:cs="Calibri" w:eastAsia="Calibri" w:hAnsi="Calibri"/>
          <w:b/>
          <w:bCs/>
          <w:color w:val="1F3864"/>
          <w:sz w:val="26"/>
          <w:szCs w:val="26"/>
        </w:rPr>
        <w:t xml:space="preserve">Annex B — Sample Narrative Artifacts (Redacted)</w:t>
      </w:r>
    </w:p>
    <w:p>
      <w:pPr>
        <w:pBdr>
          <w:left w:val="single" w:color="1F3864" w:sz="18" w:space="12"/>
        </w:pBdr>
        <w:spacing w:after="180" w:before="120" w:line="300"/>
        <w:ind w:left="360"/>
      </w:pPr>
      <w:r>
        <w:rPr>
          <w:rFonts w:ascii="Calibri" w:cs="Calibri" w:eastAsia="Calibri" w:hAnsi="Calibri"/>
          <w:i/>
          <w:iCs/>
          <w:color w:val="595959"/>
          <w:sz w:val="22"/>
          <w:szCs w:val="22"/>
        </w:rPr>
        <w:t xml:space="preserve">“Lorem ipsum dolor sit amet, consectetur adipiscing elit. Sed do eiusmod tempor incididunt ut labore et dolore magna aliqua.” — Translated from Narrative Alpha, posted 04 Apr 2026, reach ~42,000.</w:t>
      </w:r>
    </w:p>
    <w:p>
      <w:pPr>
        <w:pBdr>
          <w:left w:val="single" w:color="1F3864" w:sz="18" w:space="12"/>
        </w:pBdr>
        <w:spacing w:after="180" w:before="120" w:line="300"/>
        <w:ind w:left="360"/>
      </w:pPr>
      <w:r>
        <w:rPr>
          <w:rFonts w:ascii="Calibri" w:cs="Calibri" w:eastAsia="Calibri" w:hAnsi="Calibri"/>
          <w:i/>
          <w:iCs/>
          <w:color w:val="595959"/>
          <w:sz w:val="22"/>
          <w:szCs w:val="22"/>
        </w:rPr>
        <w:t xml:space="preserve">“Ut enim ad minim veniam, quis nostrud exercitation ullamco laboris nisi ut aliquip ex ea commodo consequat.” — Translated from Narrative Beta, posted 11 Apr 2026, reach ~28,500.</w:t>
      </w:r>
    </w:p>
    <w:p>
      <w:pPr>
        <w:pStyle w:val="Heading2"/>
        <w:spacing w:after="120" w:before="280"/>
      </w:pPr>
      <w:r>
        <w:rPr>
          <w:rFonts w:ascii="Calibri" w:cs="Calibri" w:eastAsia="Calibri" w:hAnsi="Calibri"/>
          <w:b/>
          <w:bCs/>
          <w:color w:val="1F3864"/>
          <w:sz w:val="26"/>
          <w:szCs w:val="26"/>
        </w:rPr>
        <w:t xml:space="preserve">Annex C — Analytic Techniques Applied</w:t>
      </w:r>
    </w:p>
    <w:p>
      <w:pPr>
        <w:pStyle w:val="ListParagraph"/>
        <w:numPr>
          <w:ilvl w:val="0"/>
          <w:numId w:val="2"/>
        </w:numPr>
        <w:spacing w:after="80" w:line="300"/>
      </w:pPr>
      <w:r>
        <w:rPr>
          <w:rFonts w:ascii="Calibri" w:cs="Calibri" w:eastAsia="Calibri" w:hAnsi="Calibri"/>
          <w:sz w:val="22"/>
          <w:szCs w:val="22"/>
        </w:rPr>
        <w:t xml:space="preserve">Analysis of Competing Hypotheses (ACH)</w:t>
      </w:r>
    </w:p>
    <w:p>
      <w:pPr>
        <w:pStyle w:val="ListParagraph"/>
        <w:numPr>
          <w:ilvl w:val="0"/>
          <w:numId w:val="2"/>
        </w:numPr>
        <w:spacing w:after="80" w:line="300"/>
      </w:pPr>
      <w:r>
        <w:rPr>
          <w:rFonts w:ascii="Calibri" w:cs="Calibri" w:eastAsia="Calibri" w:hAnsi="Calibri"/>
          <w:sz w:val="22"/>
          <w:szCs w:val="22"/>
        </w:rPr>
        <w:t xml:space="preserve">Key Assumptions Check</w:t>
      </w:r>
    </w:p>
    <w:p>
      <w:pPr>
        <w:pStyle w:val="ListParagraph"/>
        <w:numPr>
          <w:ilvl w:val="0"/>
          <w:numId w:val="2"/>
        </w:numPr>
        <w:spacing w:after="80" w:line="300"/>
      </w:pPr>
      <w:r>
        <w:rPr>
          <w:rFonts w:ascii="Calibri" w:cs="Calibri" w:eastAsia="Calibri" w:hAnsi="Calibri"/>
          <w:sz w:val="22"/>
          <w:szCs w:val="22"/>
        </w:rPr>
        <w:t xml:space="preserve">Indicators and Signposts of Change</w:t>
      </w:r>
    </w:p>
    <w:p>
      <w:pPr>
        <w:pStyle w:val="ListParagraph"/>
        <w:numPr>
          <w:ilvl w:val="0"/>
          <w:numId w:val="2"/>
        </w:numPr>
        <w:spacing w:after="80" w:line="300"/>
      </w:pPr>
      <w:r>
        <w:rPr>
          <w:rFonts w:ascii="Calibri" w:cs="Calibri" w:eastAsia="Calibri" w:hAnsi="Calibri"/>
          <w:sz w:val="22"/>
          <w:szCs w:val="22"/>
        </w:rPr>
        <w:t xml:space="preserve">Red Team Review (conducted 17 Apr 2026)</w:t>
      </w:r>
    </w:p>
    <w:p>
      <w:pPr>
        <w:pStyle w:val="Heading2"/>
        <w:spacing w:after="120" w:before="280"/>
      </w:pPr>
      <w:r>
        <w:rPr>
          <w:rFonts w:ascii="Calibri" w:cs="Calibri" w:eastAsia="Calibri" w:hAnsi="Calibri"/>
          <w:b/>
          <w:bCs/>
          <w:color w:val="1F3864"/>
          <w:sz w:val="26"/>
          <w:szCs w:val="26"/>
        </w:rPr>
        <w:t xml:space="preserve">Annex D — Glossary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Term</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0"/>
            </w:pPr>
            <w:r>
              <w:rPr>
                <w:rFonts w:ascii="Calibri" w:cs="Calibri" w:eastAsia="Calibri" w:hAnsi="Calibri"/>
                <w:b/>
                <w:bCs/>
                <w:color w:val="FFFFFF"/>
                <w:sz w:val="22"/>
                <w:szCs w:val="22"/>
              </w:rPr>
              <w:t xml:space="preserve">Definition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BLUF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Bottom Line Up Front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CIB</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Coordinated Inauthentic Behavior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DISARM</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Disinformation Analysis and Risk Management framework</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IOC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Indicator of Compromise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ICD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Intelligence Community Directive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JIOAC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Joint Information Operations Analysis Cell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TTP</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Tactics, Techniques, and Procedures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WEP</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Words of Estimative Probability</w:t>
            </w:r>
          </w:p>
        </w:tc>
      </w:tr>
    </w:tbl>
    <w:p>
      <w:pPr>
        <w:pStyle w:val="Heading1"/>
        <w:spacing w:after="160" w:before="360"/>
      </w:pPr>
      <w:r>
        <w:rPr>
          <w:rFonts w:ascii="Calibri" w:cs="Calibri" w:eastAsia="Calibri" w:hAnsi="Calibri"/>
          <w:b/>
          <w:bCs/>
          <w:color w:val="1F3864"/>
          <w:sz w:val="32"/>
          <w:szCs w:val="32"/>
        </w:rPr>
        <w:t xml:space="preserve">12. Report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Drafted by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Lorem I. Analyst, JIOAC/A2</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Reviewed by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Ipsum D. Reviewer, JIOAC/A3</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Released by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Dolor S. Chief, JIOAC/Director</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Classification Authority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Derivative — SCG JIOAC-2024</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Declassify 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20 April 2036</w:t>
            </w:r>
          </w:p>
        </w:tc>
      </w:tr>
      <w:tr>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Calibri" w:cs="Calibri" w:eastAsia="Calibri" w:hAnsi="Calibri"/>
                <w:b/>
                <w:bCs/>
                <w:sz w:val="22"/>
                <w:szCs w:val="22"/>
              </w:rPr>
              <w:t xml:space="preserve">Feedback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Calibri" w:cs="Calibri" w:eastAsia="Calibri" w:hAnsi="Calibri"/>
                <w:sz w:val="22"/>
                <w:szCs w:val="22"/>
              </w:rPr>
              <w:t xml:space="preserve">jioac.feedback@example.gov</w:t>
            </w:r>
          </w:p>
        </w:tc>
      </w:tr>
    </w:tbl>
    <w:p>
      <w:pPr>
        <w:spacing w:before="360"/>
      </w:pPr>
    </w:p>
    <w:p>
      <w:pPr>
        <w:pBdr>
          <w:top w:val="single" w:color="C00000" w:sz="12" w:space="4"/>
          <w:bottom w:val="single" w:color="C00000" w:sz="12" w:space="4"/>
        </w:pBdr>
        <w:spacing w:after="120" w:before="120"/>
        <w:jc w:val="center"/>
      </w:pPr>
      <w:r>
        <w:rPr>
          <w:rFonts w:ascii="Calibri" w:cs="Calibri" w:eastAsia="Calibri" w:hAnsi="Calibri"/>
          <w:b/>
          <w:bCs/>
          <w:color w:val="C00000"/>
          <w:sz w:val="26"/>
          <w:szCs w:val="26"/>
        </w:rPr>
        <w:t xml:space="preserve">UNCLASSIFIED // FOR OFFICIAL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bCs/>
        <w:color w:val="C00000"/>
        <w:sz w:val="18"/>
        <w:szCs w:val="18"/>
      </w:rPr>
      <w:t xml:space="preserve">UNCLASSIFIED // FOR OFFICIAL USE ONLY</w:t>
    </w:r>
  </w:p>
  <w:p>
    <w:pPr>
      <w:tabs>
        <w:tab w:val="right" w:pos="9360"/>
      </w:tabs>
      <w:spacing w:after="0" w:before="40"/>
      <w:jc w:val="center"/>
    </w:pPr>
    <w:r>
      <w:rPr>
        <w:rFonts w:ascii="Calibri" w:cs="Calibri" w:eastAsia="Calibri" w:hAnsi="Calibri"/>
        <w:color w:val="595959"/>
        <w:sz w:val="18"/>
        <w:szCs w:val="18"/>
      </w:rPr>
      <w:t xml:space="preserve">IIR-2026-04-0142</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Calibri" w:cs="Calibri" w:eastAsia="Calibri" w:hAnsi="Calibri"/>
        <w:b/>
        <w:bCs/>
        <w:color w:val="C00000"/>
        <w:sz w:val="18"/>
        <w:szCs w:val="18"/>
      </w:rPr>
      <w:t xml:space="preserve">UNCLASSIFIED // FOR OFFICIAL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IIR-2026-04-0142 — DOLOR SIT</dc:title>
  <dc:creator>JIOAC</dc:creator>
  <dc:description>Intelligence Information Report</dc:description>
  <cp:lastModifiedBy>Un-named</cp:lastModifiedBy>
  <cp:revision>1</cp:revision>
  <dcterms:created xsi:type="dcterms:W3CDTF">2026-04-20T08:04:22.295Z</dcterms:created>
  <dcterms:modified xsi:type="dcterms:W3CDTF">2026-04-20T08:04:22.297Z</dcterms:modified>
</cp:coreProperties>
</file>

<file path=docProps/custom.xml><?xml version="1.0" encoding="utf-8"?>
<Properties xmlns="http://schemas.openxmlformats.org/officeDocument/2006/custom-properties" xmlns:vt="http://schemas.openxmlformats.org/officeDocument/2006/docPropsVTypes"/>
</file>