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E2A5" w14:textId="43D812CE" w:rsidR="00E748AE" w:rsidRPr="008851A4" w:rsidRDefault="00710B8A" w:rsidP="00E748AE">
      <w:pPr>
        <w:rPr>
          <w:rFonts w:ascii="Calibri" w:hAnsi="Calibri" w:cs="Calibri"/>
          <w:b/>
          <w:bCs/>
        </w:rPr>
      </w:pPr>
      <w:r w:rsidRPr="008851A4">
        <w:rPr>
          <w:rFonts w:ascii="Calibri" w:hAnsi="Calibri" w:cs="Calibri"/>
          <w:color w:val="156082" w:themeColor="accent1"/>
          <w:sz w:val="40"/>
          <w:szCs w:val="40"/>
        </w:rPr>
        <w:t>Plutas</w:t>
      </w:r>
      <w:r w:rsidRPr="008851A4">
        <w:rPr>
          <w:rFonts w:ascii="Calibri" w:hAnsi="Calibri" w:cs="Calibri"/>
          <w:color w:val="156082" w:themeColor="accent1"/>
          <w:sz w:val="40"/>
          <w:szCs w:val="40"/>
        </w:rPr>
        <w:t xml:space="preserve"> </w:t>
      </w:r>
      <w:r w:rsidRPr="008851A4">
        <w:rPr>
          <w:rFonts w:ascii="Calibri" w:hAnsi="Calibri" w:cs="Calibri"/>
          <w:color w:val="156082" w:themeColor="accent1"/>
          <w:sz w:val="40"/>
          <w:szCs w:val="40"/>
        </w:rPr>
        <w:t>-</w:t>
      </w:r>
      <w:r w:rsidRPr="008851A4">
        <w:rPr>
          <w:rFonts w:ascii="Calibri" w:hAnsi="Calibri" w:cs="Calibri"/>
          <w:color w:val="156082" w:themeColor="accent1"/>
          <w:sz w:val="40"/>
          <w:szCs w:val="40"/>
        </w:rPr>
        <w:t xml:space="preserve"> </w:t>
      </w:r>
      <w:r w:rsidRPr="008851A4">
        <w:rPr>
          <w:rFonts w:ascii="Calibri" w:hAnsi="Calibri" w:cs="Calibri"/>
          <w:color w:val="156082" w:themeColor="accent1"/>
          <w:sz w:val="40"/>
          <w:szCs w:val="40"/>
        </w:rPr>
        <w:t>Product &amp; Decision Experience Observation</w:t>
      </w:r>
      <w:r w:rsidRPr="008851A4">
        <w:rPr>
          <w:rFonts w:ascii="Calibri" w:hAnsi="Calibri" w:cs="Calibri"/>
          <w:color w:val="156082" w:themeColor="accent1"/>
          <w:sz w:val="40"/>
          <w:szCs w:val="40"/>
        </w:rPr>
        <w:t>s</w:t>
      </w:r>
      <w:r w:rsidRPr="008851A4">
        <w:rPr>
          <w:rFonts w:ascii="Calibri" w:hAnsi="Calibri" w:cs="Calibri"/>
          <w:b/>
          <w:bCs/>
        </w:rPr>
        <w:br/>
      </w:r>
      <w:r w:rsidRPr="008851A4">
        <w:rPr>
          <w:rFonts w:ascii="Calibri" w:hAnsi="Calibri" w:cs="Calibri"/>
          <w:i/>
          <w:iCs/>
          <w:color w:val="156082" w:themeColor="accent1"/>
        </w:rPr>
        <w:t>(</w:t>
      </w:r>
      <w:r w:rsidR="008851A4" w:rsidRPr="008851A4">
        <w:rPr>
          <w:rFonts w:ascii="Calibri" w:hAnsi="Calibri" w:cs="Calibri"/>
          <w:i/>
          <w:iCs/>
          <w:color w:val="156082" w:themeColor="accent1"/>
        </w:rPr>
        <w:t>This case study is based on a proposal / product observation and does not disclose confidential data.</w:t>
      </w:r>
      <w:r w:rsidRPr="008851A4">
        <w:rPr>
          <w:rFonts w:ascii="Calibri" w:hAnsi="Calibri" w:cs="Calibri"/>
          <w:i/>
          <w:iCs/>
          <w:color w:val="156082" w:themeColor="accent1"/>
        </w:rPr>
        <w:t>)</w:t>
      </w:r>
      <w:r w:rsidR="006220BE">
        <w:rPr>
          <w:rFonts w:ascii="Calibri" w:hAnsi="Calibri" w:cs="Calibri"/>
          <w:i/>
          <w:iCs/>
          <w:color w:val="156082" w:themeColor="accent1"/>
        </w:rPr>
        <w:br/>
      </w:r>
      <w:r w:rsidRPr="008851A4">
        <w:rPr>
          <w:rFonts w:ascii="Calibri" w:hAnsi="Calibri" w:cs="Calibri"/>
          <w:b/>
          <w:bCs/>
        </w:rPr>
        <w:br/>
      </w:r>
      <w:r w:rsidR="00E748AE" w:rsidRPr="008851A4">
        <w:rPr>
          <w:rFonts w:ascii="Calibri" w:hAnsi="Calibri" w:cs="Calibri"/>
          <w:color w:val="156082" w:themeColor="accent1"/>
          <w:sz w:val="32"/>
          <w:szCs w:val="32"/>
        </w:rPr>
        <w:t>What Plutas Is Doing Well &amp; Where the Real Opportunity Is</w:t>
      </w:r>
      <w:r w:rsidR="00E62F7F" w:rsidRPr="008851A4">
        <w:rPr>
          <w:rFonts w:ascii="Calibri" w:hAnsi="Calibri" w:cs="Calibri"/>
          <w:color w:val="156082" w:themeColor="accent1"/>
          <w:sz w:val="32"/>
          <w:szCs w:val="32"/>
        </w:rPr>
        <w:t xml:space="preserve"> --</w:t>
      </w:r>
    </w:p>
    <w:p w14:paraId="3CEAB280" w14:textId="77777777" w:rsidR="00E748AE" w:rsidRPr="006220BE" w:rsidRDefault="00E748AE" w:rsidP="00E93954">
      <w:pPr>
        <w:spacing w:line="280" w:lineRule="exact"/>
        <w:rPr>
          <w:rFonts w:ascii="Calibri" w:hAnsi="Calibri" w:cs="Calibri"/>
          <w:sz w:val="24"/>
          <w:szCs w:val="24"/>
        </w:rPr>
      </w:pPr>
      <w:r w:rsidRPr="006220BE">
        <w:rPr>
          <w:rFonts w:ascii="Calibri" w:hAnsi="Calibri" w:cs="Calibri"/>
          <w:b/>
          <w:bCs/>
          <w:sz w:val="24"/>
          <w:szCs w:val="24"/>
        </w:rPr>
        <w:t>Plutas has strong AI and climate risk intelligence</w:t>
      </w:r>
      <w:r w:rsidRPr="006220BE">
        <w:rPr>
          <w:rFonts w:ascii="Calibri" w:hAnsi="Calibri" w:cs="Calibri"/>
          <w:sz w:val="24"/>
          <w:szCs w:val="24"/>
        </w:rPr>
        <w:t>.</w:t>
      </w:r>
      <w:r w:rsidRPr="006220BE">
        <w:rPr>
          <w:rFonts w:ascii="Calibri" w:hAnsi="Calibri" w:cs="Calibri"/>
          <w:sz w:val="24"/>
          <w:szCs w:val="24"/>
        </w:rPr>
        <w:br/>
        <w:t xml:space="preserve">The main challenge isn’t what the system can do, but </w:t>
      </w:r>
      <w:r w:rsidRPr="006220BE">
        <w:rPr>
          <w:rFonts w:ascii="Calibri" w:hAnsi="Calibri" w:cs="Calibri"/>
          <w:sz w:val="24"/>
          <w:szCs w:val="24"/>
          <w:u w:val="single"/>
        </w:rPr>
        <w:t>how clearly that intelligence is translated into something business users can understand and act on</w:t>
      </w:r>
      <w:r w:rsidRPr="006220BE">
        <w:rPr>
          <w:rFonts w:ascii="Calibri" w:hAnsi="Calibri" w:cs="Calibri"/>
          <w:sz w:val="24"/>
          <w:szCs w:val="24"/>
        </w:rPr>
        <w:t>.</w:t>
      </w:r>
    </w:p>
    <w:p w14:paraId="12CEBB2F" w14:textId="61069E79" w:rsidR="00E748AE" w:rsidRPr="00D64443" w:rsidRDefault="00792862" w:rsidP="00E748AE">
      <w:pPr>
        <w:rPr>
          <w:rFonts w:ascii="Calibri" w:hAnsi="Calibri" w:cs="Calibri"/>
          <w:color w:val="156082" w:themeColor="accent1"/>
          <w:sz w:val="32"/>
          <w:szCs w:val="32"/>
        </w:rPr>
      </w:pPr>
      <w:r w:rsidRPr="008851A4">
        <w:rPr>
          <w:rFonts w:ascii="Calibri" w:hAnsi="Calibri" w:cs="Calibri"/>
          <w:b/>
          <w:bCs/>
          <w:sz w:val="20"/>
          <w:szCs w:val="20"/>
          <w:highlight w:val="yellow"/>
        </w:rPr>
        <w:br/>
      </w:r>
      <w:r w:rsidR="00E748AE" w:rsidRPr="00D64443">
        <w:rPr>
          <w:rFonts w:ascii="Calibri" w:hAnsi="Calibri" w:cs="Calibri"/>
          <w:color w:val="156082" w:themeColor="accent1"/>
          <w:sz w:val="32"/>
          <w:szCs w:val="32"/>
          <w:highlight w:val="yellow"/>
        </w:rPr>
        <w:t>What Plutas Is Doing Well</w:t>
      </w:r>
    </w:p>
    <w:p w14:paraId="1FEFB605" w14:textId="77777777" w:rsidR="00E748AE" w:rsidRPr="00A053EC" w:rsidRDefault="00E748AE" w:rsidP="00E748AE">
      <w:pPr>
        <w:rPr>
          <w:rFonts w:ascii="Calibri" w:hAnsi="Calibri" w:cs="Calibri"/>
          <w:i/>
          <w:iCs/>
          <w:sz w:val="28"/>
          <w:szCs w:val="28"/>
          <w:u w:val="single"/>
        </w:rPr>
      </w:pPr>
      <w:r w:rsidRPr="00A053EC">
        <w:rPr>
          <w:rFonts w:ascii="Calibri" w:hAnsi="Calibri" w:cs="Calibri"/>
          <w:i/>
          <w:iCs/>
          <w:sz w:val="28"/>
          <w:szCs w:val="28"/>
          <w:u w:val="single"/>
        </w:rPr>
        <w:t>Plutas.ai = AI-driven climate risk intelligence for insurers, lenders &amp; enterprises</w:t>
      </w:r>
    </w:p>
    <w:p w14:paraId="4A269D48" w14:textId="77777777" w:rsidR="00E748AE" w:rsidRPr="006220BE" w:rsidRDefault="00E748AE" w:rsidP="00E748AE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6220BE">
        <w:rPr>
          <w:rFonts w:ascii="Calibri" w:hAnsi="Calibri" w:cs="Calibri"/>
          <w:sz w:val="24"/>
          <w:szCs w:val="24"/>
        </w:rPr>
        <w:t xml:space="preserve">Strong </w:t>
      </w:r>
      <w:r w:rsidRPr="006220BE">
        <w:rPr>
          <w:rFonts w:ascii="Calibri" w:hAnsi="Calibri" w:cs="Calibri"/>
          <w:b/>
          <w:bCs/>
          <w:sz w:val="24"/>
          <w:szCs w:val="24"/>
        </w:rPr>
        <w:t>AI + climate risk modelling</w:t>
      </w:r>
    </w:p>
    <w:p w14:paraId="466CA73A" w14:textId="77777777" w:rsidR="00E748AE" w:rsidRPr="006220BE" w:rsidRDefault="00E748AE" w:rsidP="00E748AE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6220BE">
        <w:rPr>
          <w:rFonts w:ascii="Calibri" w:hAnsi="Calibri" w:cs="Calibri"/>
          <w:sz w:val="24"/>
          <w:szCs w:val="24"/>
        </w:rPr>
        <w:t>Technically credible, actuarially sound platform</w:t>
      </w:r>
    </w:p>
    <w:p w14:paraId="51582E44" w14:textId="77777777" w:rsidR="00E748AE" w:rsidRPr="006220BE" w:rsidRDefault="00E748AE" w:rsidP="00E748AE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6220BE">
        <w:rPr>
          <w:rFonts w:ascii="Calibri" w:hAnsi="Calibri" w:cs="Calibri"/>
          <w:sz w:val="24"/>
          <w:szCs w:val="24"/>
        </w:rPr>
        <w:t xml:space="preserve">Well-suited for </w:t>
      </w:r>
      <w:r w:rsidRPr="006220BE">
        <w:rPr>
          <w:rFonts w:ascii="Calibri" w:hAnsi="Calibri" w:cs="Calibri"/>
          <w:b/>
          <w:bCs/>
          <w:sz w:val="24"/>
          <w:szCs w:val="24"/>
        </w:rPr>
        <w:t>regulated, high-stake decision environments</w:t>
      </w:r>
    </w:p>
    <w:p w14:paraId="3EF3CA82" w14:textId="77777777" w:rsidR="00E748AE" w:rsidRPr="006220BE" w:rsidRDefault="00E748AE" w:rsidP="00E748AE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6220BE">
        <w:rPr>
          <w:rFonts w:ascii="Calibri" w:hAnsi="Calibri" w:cs="Calibri"/>
          <w:sz w:val="24"/>
          <w:szCs w:val="24"/>
        </w:rPr>
        <w:t>Quote, pricing, triggers, thresholds, geography, and data sources are clearly computed and reliable</w:t>
      </w:r>
    </w:p>
    <w:p w14:paraId="54506E0A" w14:textId="77777777" w:rsidR="009E78C6" w:rsidRPr="008851A4" w:rsidRDefault="009E78C6" w:rsidP="009E78C6">
      <w:pPr>
        <w:rPr>
          <w:rFonts w:ascii="Calibri" w:hAnsi="Calibri" w:cs="Calibri"/>
          <w:sz w:val="20"/>
          <w:szCs w:val="20"/>
        </w:rPr>
      </w:pPr>
    </w:p>
    <w:p w14:paraId="39A7E6F2" w14:textId="2B3016AB" w:rsidR="009E78C6" w:rsidRPr="008851A4" w:rsidRDefault="009E78C6" w:rsidP="009E78C6">
      <w:pPr>
        <w:jc w:val="center"/>
        <w:rPr>
          <w:rFonts w:ascii="Calibri" w:hAnsi="Calibri" w:cs="Calibri"/>
          <w:sz w:val="20"/>
          <w:szCs w:val="20"/>
        </w:rPr>
      </w:pPr>
      <w:r w:rsidRPr="008851A4">
        <w:rPr>
          <w:rFonts w:ascii="Calibri" w:hAnsi="Calibri" w:cs="Calibri"/>
          <w:noProof/>
        </w:rPr>
        <w:drawing>
          <wp:inline distT="0" distB="0" distL="0" distR="0" wp14:anchorId="4DBEB25D" wp14:editId="5AFF50AE">
            <wp:extent cx="5276850" cy="3525890"/>
            <wp:effectExtent l="0" t="0" r="0" b="0"/>
            <wp:docPr id="965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005" cy="353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CB4F8" w14:textId="39331163" w:rsidR="00E748AE" w:rsidRPr="008851A4" w:rsidRDefault="00E748AE" w:rsidP="002A0D42">
      <w:pPr>
        <w:jc w:val="center"/>
        <w:rPr>
          <w:rFonts w:ascii="Calibri" w:hAnsi="Calibri" w:cs="Calibri"/>
          <w:sz w:val="18"/>
          <w:szCs w:val="18"/>
        </w:rPr>
      </w:pPr>
      <w:r w:rsidRPr="008851A4">
        <w:rPr>
          <w:rFonts w:ascii="Calibri" w:hAnsi="Calibri" w:cs="Calibri"/>
          <w:i/>
          <w:iCs/>
          <w:sz w:val="18"/>
          <w:szCs w:val="18"/>
        </w:rPr>
        <w:t>(</w:t>
      </w:r>
      <w:r w:rsidR="002A0D42" w:rsidRPr="008851A4">
        <w:rPr>
          <w:rFonts w:ascii="Calibri" w:hAnsi="Calibri" w:cs="Calibri"/>
          <w:i/>
          <w:iCs/>
          <w:sz w:val="18"/>
          <w:szCs w:val="18"/>
        </w:rPr>
        <w:t>Current experience demonstrates strong data &amp; pricing logic, but expects users to interpret rather than decide.</w:t>
      </w:r>
      <w:r w:rsidRPr="008851A4">
        <w:rPr>
          <w:rFonts w:ascii="Calibri" w:hAnsi="Calibri" w:cs="Calibri"/>
          <w:i/>
          <w:iCs/>
          <w:sz w:val="18"/>
          <w:szCs w:val="18"/>
        </w:rPr>
        <w:t>)</w:t>
      </w:r>
    </w:p>
    <w:p w14:paraId="61A75C78" w14:textId="77777777" w:rsidR="00E748AE" w:rsidRPr="008851A4" w:rsidRDefault="00000000" w:rsidP="00E748AE">
      <w:pPr>
        <w:rPr>
          <w:rFonts w:ascii="Calibri" w:hAnsi="Calibri" w:cs="Calibri"/>
          <w:sz w:val="20"/>
          <w:szCs w:val="20"/>
        </w:rPr>
      </w:pPr>
      <w:r w:rsidRPr="008851A4">
        <w:rPr>
          <w:rFonts w:ascii="Calibri" w:hAnsi="Calibri" w:cs="Calibri"/>
          <w:sz w:val="20"/>
          <w:szCs w:val="20"/>
        </w:rPr>
        <w:pict w14:anchorId="77E28898">
          <v:rect id="_x0000_i1025" style="width:0;height:1.5pt" o:hralign="center" o:hrstd="t" o:hr="t" fillcolor="#a0a0a0" stroked="f"/>
        </w:pict>
      </w:r>
    </w:p>
    <w:p w14:paraId="20F4359F" w14:textId="77777777" w:rsidR="00D64443" w:rsidRDefault="00D64443" w:rsidP="00E748AE">
      <w:pPr>
        <w:rPr>
          <w:rFonts w:ascii="Calibri" w:hAnsi="Calibri" w:cs="Calibri"/>
          <w:color w:val="156082" w:themeColor="accent1"/>
          <w:sz w:val="32"/>
          <w:szCs w:val="32"/>
          <w:highlight w:val="yellow"/>
        </w:rPr>
      </w:pPr>
    </w:p>
    <w:p w14:paraId="6C934148" w14:textId="36B03529" w:rsidR="00E748AE" w:rsidRPr="00D64443" w:rsidRDefault="00E748AE" w:rsidP="00E748AE">
      <w:pPr>
        <w:rPr>
          <w:rFonts w:ascii="Calibri" w:hAnsi="Calibri" w:cs="Calibri"/>
          <w:color w:val="156082" w:themeColor="accent1"/>
          <w:sz w:val="32"/>
          <w:szCs w:val="32"/>
        </w:rPr>
      </w:pPr>
      <w:r w:rsidRPr="00D64443">
        <w:rPr>
          <w:rFonts w:ascii="Calibri" w:hAnsi="Calibri" w:cs="Calibri"/>
          <w:color w:val="156082" w:themeColor="accent1"/>
          <w:sz w:val="32"/>
          <w:szCs w:val="32"/>
          <w:highlight w:val="yellow"/>
        </w:rPr>
        <w:lastRenderedPageBreak/>
        <w:t>Core Challenge (Visible in the Current Experience)</w:t>
      </w:r>
    </w:p>
    <w:p w14:paraId="683C5141" w14:textId="77777777" w:rsidR="00E748AE" w:rsidRPr="00D17238" w:rsidRDefault="00E748AE" w:rsidP="00E748AE">
      <w:pPr>
        <w:rPr>
          <w:rFonts w:ascii="Calibri" w:hAnsi="Calibri" w:cs="Calibri"/>
          <w:i/>
          <w:iCs/>
          <w:sz w:val="28"/>
          <w:szCs w:val="28"/>
        </w:rPr>
      </w:pPr>
      <w:r w:rsidRPr="00D17238">
        <w:rPr>
          <w:rFonts w:ascii="Calibri" w:hAnsi="Calibri" w:cs="Calibri"/>
          <w:i/>
          <w:iCs/>
          <w:sz w:val="28"/>
          <w:szCs w:val="28"/>
        </w:rPr>
        <w:t xml:space="preserve">While the system is powerful, </w:t>
      </w:r>
      <w:r w:rsidRPr="000F5352">
        <w:rPr>
          <w:rFonts w:ascii="Calibri" w:hAnsi="Calibri" w:cs="Calibri"/>
          <w:b/>
          <w:bCs/>
          <w:i/>
          <w:iCs/>
          <w:sz w:val="28"/>
          <w:szCs w:val="28"/>
        </w:rPr>
        <w:t>its value is hidden inside complexity</w:t>
      </w:r>
      <w:r w:rsidRPr="00D17238">
        <w:rPr>
          <w:rFonts w:ascii="Calibri" w:hAnsi="Calibri" w:cs="Calibri"/>
          <w:i/>
          <w:iCs/>
          <w:sz w:val="28"/>
          <w:szCs w:val="28"/>
        </w:rPr>
        <w:t>.</w:t>
      </w:r>
    </w:p>
    <w:p w14:paraId="6D060C3E" w14:textId="77777777" w:rsidR="00E748AE" w:rsidRPr="00B72272" w:rsidRDefault="00E748AE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Today, the experience feels:</w:t>
      </w:r>
    </w:p>
    <w:p w14:paraId="1C109A5D" w14:textId="77777777" w:rsidR="00E748AE" w:rsidRPr="00B72272" w:rsidRDefault="00E748AE" w:rsidP="00E748AE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b/>
          <w:bCs/>
          <w:sz w:val="24"/>
          <w:szCs w:val="24"/>
        </w:rPr>
        <w:t>Data-heavy</w:t>
      </w:r>
    </w:p>
    <w:p w14:paraId="43FEB4BB" w14:textId="77777777" w:rsidR="00E748AE" w:rsidRPr="00B72272" w:rsidRDefault="00E748AE" w:rsidP="00E748AE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b/>
          <w:bCs/>
          <w:sz w:val="24"/>
          <w:szCs w:val="24"/>
        </w:rPr>
        <w:t>Analyst-oriented</w:t>
      </w:r>
    </w:p>
    <w:p w14:paraId="1EBEB30B" w14:textId="59670875" w:rsidR="005F6739" w:rsidRPr="001E01FE" w:rsidRDefault="00E748AE" w:rsidP="00E748AE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b/>
          <w:bCs/>
          <w:sz w:val="24"/>
          <w:szCs w:val="24"/>
        </w:rPr>
        <w:t>Dependent on user interpretation</w:t>
      </w:r>
    </w:p>
    <w:p w14:paraId="446CEF8F" w14:textId="3B49F166" w:rsidR="00E748AE" w:rsidRPr="00B72272" w:rsidRDefault="00E748AE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 xml:space="preserve">For example, on the </w:t>
      </w:r>
      <w:r w:rsidRPr="00B72272">
        <w:rPr>
          <w:rFonts w:ascii="Calibri" w:hAnsi="Calibri" w:cs="Calibri"/>
          <w:b/>
          <w:bCs/>
          <w:sz w:val="24"/>
          <w:szCs w:val="24"/>
          <w:highlight w:val="yellow"/>
        </w:rPr>
        <w:t>quote screen</w:t>
      </w:r>
      <w:r w:rsidRPr="00B72272">
        <w:rPr>
          <w:rFonts w:ascii="Calibri" w:hAnsi="Calibri" w:cs="Calibri"/>
          <w:sz w:val="24"/>
          <w:szCs w:val="24"/>
        </w:rPr>
        <w:t>:</w:t>
      </w:r>
    </w:p>
    <w:p w14:paraId="222F1313" w14:textId="77777777" w:rsidR="00E748AE" w:rsidRPr="00B72272" w:rsidRDefault="00E748AE" w:rsidP="00E748AE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 xml:space="preserve">Users see </w:t>
      </w:r>
      <w:r w:rsidRPr="00B72272">
        <w:rPr>
          <w:rFonts w:ascii="Calibri" w:hAnsi="Calibri" w:cs="Calibri"/>
          <w:b/>
          <w:bCs/>
          <w:i/>
          <w:iCs/>
          <w:sz w:val="24"/>
          <w:szCs w:val="24"/>
        </w:rPr>
        <w:t>rainfall triggers, exit thresholds, coverage percentages, premiums, and grids</w:t>
      </w:r>
    </w:p>
    <w:p w14:paraId="02FB7661" w14:textId="19BB3C95" w:rsidR="00E748AE" w:rsidRPr="00B72272" w:rsidRDefault="00E748AE" w:rsidP="00E748AE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 xml:space="preserve">But the system does </w:t>
      </w:r>
      <w:r w:rsidR="00B047EB" w:rsidRPr="00B72272">
        <w:rPr>
          <w:rFonts w:ascii="Calibri" w:hAnsi="Calibri" w:cs="Calibri"/>
          <w:b/>
          <w:bCs/>
          <w:sz w:val="24"/>
          <w:szCs w:val="24"/>
          <w:highlight w:val="yellow"/>
        </w:rPr>
        <w:t>NOT</w:t>
      </w:r>
      <w:r w:rsidRPr="00B72272">
        <w:rPr>
          <w:rFonts w:ascii="Calibri" w:hAnsi="Calibri" w:cs="Calibri"/>
          <w:sz w:val="24"/>
          <w:szCs w:val="24"/>
        </w:rPr>
        <w:t xml:space="preserve"> clearly answer:</w:t>
      </w:r>
    </w:p>
    <w:p w14:paraId="03F91CBE" w14:textId="77777777" w:rsidR="00E748AE" w:rsidRPr="00B72272" w:rsidRDefault="00E748AE" w:rsidP="00E748AE">
      <w:pPr>
        <w:numPr>
          <w:ilvl w:val="1"/>
          <w:numId w:val="10"/>
        </w:numPr>
        <w:rPr>
          <w:rFonts w:ascii="Calibri" w:hAnsi="Calibri" w:cs="Calibri"/>
          <w:b/>
          <w:bCs/>
          <w:sz w:val="24"/>
          <w:szCs w:val="24"/>
        </w:rPr>
      </w:pPr>
      <w:r w:rsidRPr="00B72272">
        <w:rPr>
          <w:rFonts w:ascii="Calibri" w:hAnsi="Calibri" w:cs="Calibri"/>
          <w:b/>
          <w:bCs/>
          <w:i/>
          <w:iCs/>
          <w:sz w:val="24"/>
          <w:szCs w:val="24"/>
        </w:rPr>
        <w:t>Which plan is best for me?</w:t>
      </w:r>
    </w:p>
    <w:p w14:paraId="06D04CAB" w14:textId="77777777" w:rsidR="00E748AE" w:rsidRPr="00B72272" w:rsidRDefault="00E748AE" w:rsidP="00E748AE">
      <w:pPr>
        <w:numPr>
          <w:ilvl w:val="1"/>
          <w:numId w:val="10"/>
        </w:numPr>
        <w:rPr>
          <w:rFonts w:ascii="Calibri" w:hAnsi="Calibri" w:cs="Calibri"/>
          <w:b/>
          <w:bCs/>
          <w:sz w:val="24"/>
          <w:szCs w:val="24"/>
        </w:rPr>
      </w:pPr>
      <w:r w:rsidRPr="00B72272">
        <w:rPr>
          <w:rFonts w:ascii="Calibri" w:hAnsi="Calibri" w:cs="Calibri"/>
          <w:b/>
          <w:bCs/>
          <w:i/>
          <w:iCs/>
          <w:sz w:val="24"/>
          <w:szCs w:val="24"/>
        </w:rPr>
        <w:t xml:space="preserve">What am I risking if I choose </w:t>
      </w:r>
      <w:proofErr w:type="gramStart"/>
      <w:r w:rsidRPr="00B72272">
        <w:rPr>
          <w:rFonts w:ascii="Calibri" w:hAnsi="Calibri" w:cs="Calibri"/>
          <w:b/>
          <w:bCs/>
          <w:i/>
          <w:iCs/>
          <w:sz w:val="24"/>
          <w:szCs w:val="24"/>
        </w:rPr>
        <w:t>Silver</w:t>
      </w:r>
      <w:proofErr w:type="gramEnd"/>
      <w:r w:rsidRPr="00B72272">
        <w:rPr>
          <w:rFonts w:ascii="Calibri" w:hAnsi="Calibri" w:cs="Calibri"/>
          <w:b/>
          <w:bCs/>
          <w:i/>
          <w:iCs/>
          <w:sz w:val="24"/>
          <w:szCs w:val="24"/>
        </w:rPr>
        <w:t xml:space="preserve"> vs Gold vs Platinum?</w:t>
      </w:r>
    </w:p>
    <w:p w14:paraId="0019E39A" w14:textId="77777777" w:rsidR="00E748AE" w:rsidRPr="00B72272" w:rsidRDefault="00E748AE" w:rsidP="00E748AE">
      <w:pPr>
        <w:numPr>
          <w:ilvl w:val="1"/>
          <w:numId w:val="10"/>
        </w:numPr>
        <w:rPr>
          <w:rFonts w:ascii="Calibri" w:hAnsi="Calibri" w:cs="Calibri"/>
          <w:b/>
          <w:bCs/>
          <w:sz w:val="24"/>
          <w:szCs w:val="24"/>
        </w:rPr>
      </w:pPr>
      <w:r w:rsidRPr="00B72272">
        <w:rPr>
          <w:rFonts w:ascii="Calibri" w:hAnsi="Calibri" w:cs="Calibri"/>
          <w:b/>
          <w:bCs/>
          <w:i/>
          <w:iCs/>
          <w:sz w:val="24"/>
          <w:szCs w:val="24"/>
        </w:rPr>
        <w:t>What decision should I confidently take right now?</w:t>
      </w:r>
    </w:p>
    <w:p w14:paraId="7C3D4AF5" w14:textId="678E4F70" w:rsidR="00E748AE" w:rsidRPr="00B72272" w:rsidRDefault="00E748AE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 xml:space="preserve">The user is asked to </w:t>
      </w:r>
      <w:r w:rsidR="00E13372" w:rsidRPr="00B72272">
        <w:rPr>
          <w:rFonts w:ascii="Calibri" w:hAnsi="Calibri" w:cs="Calibri"/>
          <w:b/>
          <w:bCs/>
          <w:sz w:val="24"/>
          <w:szCs w:val="24"/>
        </w:rPr>
        <w:t>analyse</w:t>
      </w:r>
      <w:r w:rsidRPr="00B72272">
        <w:rPr>
          <w:rFonts w:ascii="Calibri" w:hAnsi="Calibri" w:cs="Calibri"/>
          <w:sz w:val="24"/>
          <w:szCs w:val="24"/>
        </w:rPr>
        <w:t xml:space="preserve">, not </w:t>
      </w:r>
      <w:r w:rsidRPr="00B72272">
        <w:rPr>
          <w:rFonts w:ascii="Calibri" w:hAnsi="Calibri" w:cs="Calibri"/>
          <w:b/>
          <w:bCs/>
          <w:sz w:val="24"/>
          <w:szCs w:val="24"/>
        </w:rPr>
        <w:t>decide</w:t>
      </w:r>
      <w:r w:rsidRPr="00B72272">
        <w:rPr>
          <w:rFonts w:ascii="Calibri" w:hAnsi="Calibri" w:cs="Calibri"/>
          <w:sz w:val="24"/>
          <w:szCs w:val="24"/>
        </w:rPr>
        <w:t>.</w:t>
      </w:r>
    </w:p>
    <w:p w14:paraId="5671A543" w14:textId="77777777" w:rsidR="00E748AE" w:rsidRPr="00B72272" w:rsidRDefault="00000000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pict w14:anchorId="489F29A7">
          <v:rect id="_x0000_i1026" style="width:0;height:1.5pt" o:hralign="center" o:hrstd="t" o:hr="t" fillcolor="#a0a0a0" stroked="f"/>
        </w:pict>
      </w:r>
    </w:p>
    <w:p w14:paraId="60DDD4E1" w14:textId="77777777" w:rsidR="00E748AE" w:rsidRPr="00D06FB0" w:rsidRDefault="00E748AE" w:rsidP="00E748AE">
      <w:pPr>
        <w:rPr>
          <w:rFonts w:ascii="Calibri" w:hAnsi="Calibri" w:cs="Calibri"/>
          <w:color w:val="156082" w:themeColor="accent1"/>
          <w:sz w:val="32"/>
          <w:szCs w:val="32"/>
        </w:rPr>
      </w:pPr>
      <w:r w:rsidRPr="00D06FB0">
        <w:rPr>
          <w:rFonts w:ascii="Calibri" w:hAnsi="Calibri" w:cs="Calibri"/>
          <w:color w:val="156082" w:themeColor="accent1"/>
          <w:sz w:val="32"/>
          <w:szCs w:val="32"/>
          <w:highlight w:val="yellow"/>
        </w:rPr>
        <w:t>The Real Opportunity</w:t>
      </w:r>
    </w:p>
    <w:p w14:paraId="393C97E7" w14:textId="77777777" w:rsidR="00E748AE" w:rsidRPr="00DF4838" w:rsidRDefault="00E748AE" w:rsidP="00E748AE">
      <w:pPr>
        <w:rPr>
          <w:rFonts w:ascii="Calibri" w:hAnsi="Calibri" w:cs="Calibri"/>
          <w:i/>
          <w:iCs/>
          <w:sz w:val="28"/>
          <w:szCs w:val="28"/>
        </w:rPr>
      </w:pPr>
      <w:r w:rsidRPr="00DF4838">
        <w:rPr>
          <w:rFonts w:ascii="Calibri" w:hAnsi="Calibri" w:cs="Calibri"/>
          <w:i/>
          <w:iCs/>
          <w:sz w:val="28"/>
          <w:szCs w:val="28"/>
        </w:rPr>
        <w:t xml:space="preserve">Turning complex climate + AI signals </w:t>
      </w:r>
      <w:r w:rsidRPr="00DF4838">
        <w:rPr>
          <w:rFonts w:ascii="Calibri" w:hAnsi="Calibri" w:cs="Calibri"/>
          <w:b/>
          <w:bCs/>
          <w:i/>
          <w:iCs/>
          <w:sz w:val="28"/>
          <w:szCs w:val="28"/>
        </w:rPr>
        <w:t>into clear, confident business decisions</w:t>
      </w:r>
    </w:p>
    <w:p w14:paraId="649C3C6D" w14:textId="77777777" w:rsidR="00E748AE" w:rsidRPr="00B72272" w:rsidRDefault="00E748AE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What business users actually want to know:</w:t>
      </w:r>
    </w:p>
    <w:p w14:paraId="58C714B0" w14:textId="77777777" w:rsidR="00E748AE" w:rsidRPr="00B72272" w:rsidRDefault="00E748AE" w:rsidP="00E748AE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b/>
          <w:bCs/>
          <w:sz w:val="24"/>
          <w:szCs w:val="24"/>
        </w:rPr>
        <w:t>Should we insure this asset?</w:t>
      </w:r>
    </w:p>
    <w:p w14:paraId="68717DC6" w14:textId="77777777" w:rsidR="00E748AE" w:rsidRPr="00B72272" w:rsidRDefault="00E748AE" w:rsidP="00E748AE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b/>
          <w:bCs/>
          <w:sz w:val="24"/>
          <w:szCs w:val="24"/>
        </w:rPr>
        <w:t>Is this loan safe over the policy period?</w:t>
      </w:r>
    </w:p>
    <w:p w14:paraId="64F30CF6" w14:textId="77777777" w:rsidR="00E748AE" w:rsidRPr="00B72272" w:rsidRDefault="00E748AE" w:rsidP="00E748AE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b/>
          <w:bCs/>
          <w:sz w:val="24"/>
          <w:szCs w:val="24"/>
        </w:rPr>
        <w:t>Which level of risk exposure should we act on now?</w:t>
      </w:r>
    </w:p>
    <w:p w14:paraId="5B45391E" w14:textId="77777777" w:rsidR="00E748AE" w:rsidRPr="00B72272" w:rsidRDefault="00E748AE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b/>
          <w:bCs/>
          <w:sz w:val="24"/>
          <w:szCs w:val="24"/>
        </w:rPr>
        <w:t>Winning here is not about better AI — it’s about decision clarity.</w:t>
      </w:r>
    </w:p>
    <w:p w14:paraId="09AD287E" w14:textId="77777777" w:rsidR="00E748AE" w:rsidRPr="00B72272" w:rsidRDefault="00000000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pict w14:anchorId="1D0DBE04">
          <v:rect id="_x0000_i1027" style="width:0;height:1.5pt" o:hralign="center" o:hrstd="t" o:hr="t" fillcolor="#a0a0a0" stroked="f"/>
        </w:pict>
      </w:r>
    </w:p>
    <w:p w14:paraId="52F70F29" w14:textId="791F2392" w:rsidR="00E748AE" w:rsidRPr="004A27F9" w:rsidRDefault="00E748AE" w:rsidP="00E748AE">
      <w:pPr>
        <w:rPr>
          <w:rFonts w:ascii="Calibri" w:hAnsi="Calibri" w:cs="Calibri"/>
          <w:color w:val="156082" w:themeColor="accent1"/>
          <w:sz w:val="32"/>
          <w:szCs w:val="32"/>
        </w:rPr>
      </w:pPr>
      <w:r w:rsidRPr="004A27F9">
        <w:rPr>
          <w:rFonts w:ascii="Calibri" w:hAnsi="Calibri" w:cs="Calibri"/>
          <w:color w:val="156082" w:themeColor="accent1"/>
          <w:sz w:val="32"/>
          <w:szCs w:val="32"/>
          <w:highlight w:val="yellow"/>
        </w:rPr>
        <w:t>Where I Add Direct Value</w:t>
      </w:r>
      <w:r w:rsidRPr="004A27F9">
        <w:rPr>
          <w:rFonts w:ascii="Calibri" w:hAnsi="Calibri" w:cs="Calibri"/>
          <w:color w:val="156082" w:themeColor="accent1"/>
          <w:sz w:val="32"/>
          <w:szCs w:val="32"/>
        </w:rPr>
        <w:t xml:space="preserve"> (Without Building a Large Team)</w:t>
      </w:r>
    </w:p>
    <w:p w14:paraId="0F14833B" w14:textId="1A374369" w:rsidR="002C55FF" w:rsidRPr="00B374DF" w:rsidRDefault="00E748AE" w:rsidP="00E748AE">
      <w:pPr>
        <w:rPr>
          <w:rFonts w:ascii="Calibri" w:hAnsi="Calibri" w:cs="Calibri"/>
          <w:i/>
          <w:iCs/>
          <w:sz w:val="28"/>
          <w:szCs w:val="28"/>
        </w:rPr>
      </w:pPr>
      <w:r w:rsidRPr="00B374DF">
        <w:rPr>
          <w:rFonts w:ascii="Calibri" w:hAnsi="Calibri" w:cs="Calibri"/>
          <w:i/>
          <w:iCs/>
          <w:sz w:val="28"/>
          <w:szCs w:val="28"/>
        </w:rPr>
        <w:t xml:space="preserve">My contribution sits at the intersection of </w:t>
      </w:r>
      <w:r w:rsidRPr="00B374DF">
        <w:rPr>
          <w:rFonts w:ascii="Calibri" w:hAnsi="Calibri" w:cs="Calibri"/>
          <w:b/>
          <w:bCs/>
          <w:i/>
          <w:iCs/>
          <w:sz w:val="28"/>
          <w:szCs w:val="28"/>
        </w:rPr>
        <w:t>Product, UX, and Business Narrative</w:t>
      </w:r>
      <w:r w:rsidRPr="00B374DF">
        <w:rPr>
          <w:rFonts w:ascii="Calibri" w:hAnsi="Calibri" w:cs="Calibri"/>
          <w:i/>
          <w:iCs/>
          <w:sz w:val="28"/>
          <w:szCs w:val="28"/>
        </w:rPr>
        <w:t xml:space="preserve"> — translating intelligence into action.</w:t>
      </w:r>
    </w:p>
    <w:p w14:paraId="37D97E37" w14:textId="77777777" w:rsidR="00CE4919" w:rsidRDefault="00CE4919" w:rsidP="00E748AE">
      <w:pPr>
        <w:rPr>
          <w:rFonts w:ascii="Calibri" w:hAnsi="Calibri" w:cs="Calibri"/>
          <w:sz w:val="24"/>
          <w:szCs w:val="24"/>
        </w:rPr>
      </w:pPr>
    </w:p>
    <w:p w14:paraId="7E7190D5" w14:textId="77777777" w:rsidR="00CE4919" w:rsidRDefault="00CE4919" w:rsidP="00E748AE">
      <w:pPr>
        <w:rPr>
          <w:rFonts w:ascii="Calibri" w:hAnsi="Calibri" w:cs="Calibri"/>
          <w:sz w:val="24"/>
          <w:szCs w:val="24"/>
        </w:rPr>
      </w:pPr>
    </w:p>
    <w:p w14:paraId="14B526E7" w14:textId="77777777" w:rsidR="00A85579" w:rsidRPr="00B72272" w:rsidRDefault="00A85579" w:rsidP="00E748AE">
      <w:pPr>
        <w:rPr>
          <w:rFonts w:ascii="Calibri" w:hAnsi="Calibri" w:cs="Calibri"/>
          <w:sz w:val="24"/>
          <w:szCs w:val="24"/>
        </w:rPr>
      </w:pPr>
    </w:p>
    <w:p w14:paraId="338FE7CE" w14:textId="28100B66" w:rsidR="00E748AE" w:rsidRPr="004A27F9" w:rsidRDefault="002C55FF" w:rsidP="00E748AE">
      <w:pPr>
        <w:rPr>
          <w:rFonts w:ascii="Calibri" w:hAnsi="Calibri" w:cs="Calibri"/>
          <w:color w:val="156082" w:themeColor="accent1"/>
          <w:sz w:val="28"/>
          <w:szCs w:val="28"/>
        </w:rPr>
      </w:pPr>
      <w:r w:rsidRPr="004A27F9">
        <w:rPr>
          <w:rFonts w:ascii="Calibri" w:hAnsi="Calibri" w:cs="Calibri"/>
          <w:color w:val="156082" w:themeColor="accent1"/>
          <w:sz w:val="28"/>
          <w:szCs w:val="28"/>
        </w:rPr>
        <w:lastRenderedPageBreak/>
        <w:t xml:space="preserve">1. </w:t>
      </w:r>
      <w:r w:rsidR="00E748AE" w:rsidRPr="004A27F9">
        <w:rPr>
          <w:rFonts w:ascii="Calibri" w:hAnsi="Calibri" w:cs="Calibri"/>
          <w:color w:val="156082" w:themeColor="accent1"/>
          <w:sz w:val="28"/>
          <w:szCs w:val="28"/>
          <w:highlight w:val="yellow"/>
        </w:rPr>
        <w:t xml:space="preserve">Reframe Features </w:t>
      </w:r>
      <w:proofErr w:type="gramStart"/>
      <w:r w:rsidR="00E748AE" w:rsidRPr="004A27F9">
        <w:rPr>
          <w:rFonts w:ascii="Calibri" w:hAnsi="Calibri" w:cs="Calibri"/>
          <w:color w:val="156082" w:themeColor="accent1"/>
          <w:sz w:val="28"/>
          <w:szCs w:val="28"/>
          <w:highlight w:val="yellow"/>
        </w:rPr>
        <w:t>Into</w:t>
      </w:r>
      <w:proofErr w:type="gramEnd"/>
      <w:r w:rsidR="00E748AE" w:rsidRPr="004A27F9">
        <w:rPr>
          <w:rFonts w:ascii="Calibri" w:hAnsi="Calibri" w:cs="Calibri"/>
          <w:color w:val="156082" w:themeColor="accent1"/>
          <w:sz w:val="28"/>
          <w:szCs w:val="28"/>
          <w:highlight w:val="yellow"/>
        </w:rPr>
        <w:t xml:space="preserve"> Outcomes</w:t>
      </w:r>
    </w:p>
    <w:p w14:paraId="32BCA673" w14:textId="77777777" w:rsidR="00E748AE" w:rsidRPr="00B72272" w:rsidRDefault="00E748AE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b/>
          <w:bCs/>
          <w:sz w:val="24"/>
          <w:szCs w:val="24"/>
        </w:rPr>
        <w:t>From</w:t>
      </w:r>
    </w:p>
    <w:p w14:paraId="0A4A5C3D" w14:textId="77777777" w:rsidR="00E748AE" w:rsidRPr="00B72272" w:rsidRDefault="00E748AE" w:rsidP="00E748AE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Risk scores</w:t>
      </w:r>
    </w:p>
    <w:p w14:paraId="61C152CF" w14:textId="77777777" w:rsidR="00E748AE" w:rsidRPr="00B72272" w:rsidRDefault="00E748AE" w:rsidP="00E748AE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Rainfall thresholds</w:t>
      </w:r>
    </w:p>
    <w:p w14:paraId="5092ABB3" w14:textId="77777777" w:rsidR="00E748AE" w:rsidRPr="00B72272" w:rsidRDefault="00E748AE" w:rsidP="00E748AE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Coverage percentages</w:t>
      </w:r>
    </w:p>
    <w:p w14:paraId="25D1C1C1" w14:textId="77777777" w:rsidR="00E748AE" w:rsidRPr="00B72272" w:rsidRDefault="00E748AE" w:rsidP="00E748AE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Technical policy conditions</w:t>
      </w:r>
    </w:p>
    <w:p w14:paraId="7B02C6C7" w14:textId="77777777" w:rsidR="00E748AE" w:rsidRPr="00B72272" w:rsidRDefault="00E748AE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b/>
          <w:bCs/>
          <w:sz w:val="24"/>
          <w:szCs w:val="24"/>
        </w:rPr>
        <w:t>To</w:t>
      </w:r>
    </w:p>
    <w:p w14:paraId="3490ACF1" w14:textId="77777777" w:rsidR="00E748AE" w:rsidRPr="00B72272" w:rsidRDefault="00E748AE" w:rsidP="00E748AE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i/>
          <w:iCs/>
          <w:sz w:val="24"/>
          <w:szCs w:val="24"/>
        </w:rPr>
        <w:t>Approve / Reject / Mitigate / Monitor</w:t>
      </w:r>
    </w:p>
    <w:p w14:paraId="2D475BB7" w14:textId="77777777" w:rsidR="00E748AE" w:rsidRPr="00B72272" w:rsidRDefault="00E748AE" w:rsidP="00E748AE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i/>
          <w:iCs/>
          <w:sz w:val="24"/>
          <w:szCs w:val="24"/>
        </w:rPr>
        <w:t>Basic protection vs full business continuity</w:t>
      </w:r>
    </w:p>
    <w:p w14:paraId="25963DDE" w14:textId="77777777" w:rsidR="00E748AE" w:rsidRPr="00B72272" w:rsidRDefault="00E748AE" w:rsidP="00E748AE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i/>
          <w:iCs/>
          <w:sz w:val="24"/>
          <w:szCs w:val="24"/>
        </w:rPr>
        <w:t>Low confidence vs high confidence decisions</w:t>
      </w:r>
    </w:p>
    <w:p w14:paraId="6FB8DC96" w14:textId="20A194A6" w:rsidR="00623F4B" w:rsidRPr="00B72272" w:rsidRDefault="00E748AE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 xml:space="preserve">The goal is to make the value </w:t>
      </w:r>
      <w:r w:rsidRPr="00B72272">
        <w:rPr>
          <w:rFonts w:ascii="Calibri" w:hAnsi="Calibri" w:cs="Calibri"/>
          <w:b/>
          <w:bCs/>
          <w:sz w:val="24"/>
          <w:szCs w:val="24"/>
        </w:rPr>
        <w:t>visible in seconds, not slides</w:t>
      </w:r>
      <w:r w:rsidRPr="00B72272">
        <w:rPr>
          <w:rFonts w:ascii="Calibri" w:hAnsi="Calibri" w:cs="Calibri"/>
          <w:sz w:val="24"/>
          <w:szCs w:val="24"/>
        </w:rPr>
        <w:t xml:space="preserve"> — especially on key screens like plan comparison and checkout.</w:t>
      </w:r>
      <w:r w:rsidR="00623F4B" w:rsidRPr="00B72272">
        <w:rPr>
          <w:rFonts w:ascii="Calibri" w:hAnsi="Calibri" w:cs="Calibri"/>
          <w:sz w:val="24"/>
          <w:szCs w:val="24"/>
        </w:rPr>
        <w:br/>
      </w:r>
    </w:p>
    <w:p w14:paraId="270CE6BD" w14:textId="5077F7D8" w:rsidR="00E748AE" w:rsidRPr="00F53B47" w:rsidRDefault="00623F4B" w:rsidP="00E748AE">
      <w:pPr>
        <w:rPr>
          <w:rFonts w:ascii="Calibri" w:hAnsi="Calibri" w:cs="Calibri"/>
          <w:color w:val="156082" w:themeColor="accent1"/>
          <w:sz w:val="28"/>
          <w:szCs w:val="28"/>
        </w:rPr>
      </w:pPr>
      <w:r w:rsidRPr="00F53B47">
        <w:rPr>
          <w:rFonts w:ascii="Calibri" w:hAnsi="Calibri" w:cs="Calibri"/>
          <w:color w:val="156082" w:themeColor="accent1"/>
          <w:sz w:val="28"/>
          <w:szCs w:val="28"/>
        </w:rPr>
        <w:t xml:space="preserve">2. </w:t>
      </w:r>
      <w:r w:rsidR="00E748AE" w:rsidRPr="00F53B47">
        <w:rPr>
          <w:rFonts w:ascii="Calibri" w:hAnsi="Calibri" w:cs="Calibri"/>
          <w:color w:val="156082" w:themeColor="accent1"/>
          <w:sz w:val="28"/>
          <w:szCs w:val="28"/>
          <w:highlight w:val="yellow"/>
        </w:rPr>
        <w:t>Design Experiences</w:t>
      </w:r>
      <w:r w:rsidR="00E748AE" w:rsidRPr="00F53B47">
        <w:rPr>
          <w:rFonts w:ascii="Calibri" w:hAnsi="Calibri" w:cs="Calibri"/>
          <w:color w:val="156082" w:themeColor="accent1"/>
          <w:sz w:val="28"/>
          <w:szCs w:val="28"/>
        </w:rPr>
        <w:t xml:space="preserve"> That Surface Decisions, Not Data</w:t>
      </w:r>
    </w:p>
    <w:p w14:paraId="34FCA226" w14:textId="77777777" w:rsidR="00E748AE" w:rsidRPr="00B72272" w:rsidRDefault="00E748AE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Applied directly to the current quote screen:</w:t>
      </w:r>
    </w:p>
    <w:p w14:paraId="5AE55C34" w14:textId="77777777" w:rsidR="00E748AE" w:rsidRPr="00B72272" w:rsidRDefault="00E748AE" w:rsidP="00E748AE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Progressive disclosure instead of showing everything at once</w:t>
      </w:r>
    </w:p>
    <w:p w14:paraId="2C0F0CE9" w14:textId="77777777" w:rsidR="00E748AE" w:rsidRPr="00B72272" w:rsidRDefault="00E748AE" w:rsidP="00E748AE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 xml:space="preserve">Clear </w:t>
      </w:r>
      <w:r w:rsidRPr="00B72272">
        <w:rPr>
          <w:rFonts w:ascii="Calibri" w:hAnsi="Calibri" w:cs="Calibri"/>
          <w:b/>
          <w:bCs/>
          <w:sz w:val="24"/>
          <w:szCs w:val="24"/>
        </w:rPr>
        <w:t>risk confidence indicators</w:t>
      </w:r>
    </w:p>
    <w:p w14:paraId="586F0E33" w14:textId="77777777" w:rsidR="00E748AE" w:rsidRPr="00B72272" w:rsidRDefault="00E748AE" w:rsidP="00E748AE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 xml:space="preserve">A visible </w:t>
      </w:r>
      <w:r w:rsidRPr="00B72272">
        <w:rPr>
          <w:rFonts w:ascii="Calibri" w:hAnsi="Calibri" w:cs="Calibri"/>
          <w:b/>
          <w:bCs/>
          <w:sz w:val="24"/>
          <w:szCs w:val="24"/>
        </w:rPr>
        <w:t>system recommendation</w:t>
      </w:r>
      <w:r w:rsidRPr="00B72272">
        <w:rPr>
          <w:rFonts w:ascii="Calibri" w:hAnsi="Calibri" w:cs="Calibri"/>
          <w:sz w:val="24"/>
          <w:szCs w:val="24"/>
        </w:rPr>
        <w:t xml:space="preserve"> with reasoning</w:t>
      </w:r>
    </w:p>
    <w:p w14:paraId="3780A646" w14:textId="77777777" w:rsidR="00E748AE" w:rsidRPr="00B72272" w:rsidRDefault="00E748AE" w:rsidP="00E748AE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“What should I do next?” built directly into the UX</w:t>
      </w:r>
    </w:p>
    <w:p w14:paraId="5D77ACE9" w14:textId="77777777" w:rsidR="00E748AE" w:rsidRPr="00B72272" w:rsidRDefault="00E748AE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 xml:space="preserve">This shifts the experience from </w:t>
      </w:r>
      <w:r w:rsidRPr="00B72272">
        <w:rPr>
          <w:rFonts w:ascii="Calibri" w:hAnsi="Calibri" w:cs="Calibri"/>
          <w:i/>
          <w:iCs/>
          <w:sz w:val="24"/>
          <w:szCs w:val="24"/>
        </w:rPr>
        <w:t>reading numbers</w:t>
      </w:r>
      <w:r w:rsidRPr="00B72272">
        <w:rPr>
          <w:rFonts w:ascii="Calibri" w:hAnsi="Calibri" w:cs="Calibri"/>
          <w:sz w:val="24"/>
          <w:szCs w:val="24"/>
        </w:rPr>
        <w:t xml:space="preserve"> to </w:t>
      </w:r>
      <w:r w:rsidRPr="00B72272">
        <w:rPr>
          <w:rFonts w:ascii="Calibri" w:hAnsi="Calibri" w:cs="Calibri"/>
          <w:i/>
          <w:iCs/>
          <w:sz w:val="24"/>
          <w:szCs w:val="24"/>
        </w:rPr>
        <w:t>taking action</w:t>
      </w:r>
      <w:r w:rsidRPr="00B72272">
        <w:rPr>
          <w:rFonts w:ascii="Calibri" w:hAnsi="Calibri" w:cs="Calibri"/>
          <w:sz w:val="24"/>
          <w:szCs w:val="24"/>
        </w:rPr>
        <w:t>.</w:t>
      </w:r>
    </w:p>
    <w:p w14:paraId="53314C8C" w14:textId="77777777" w:rsidR="00E748AE" w:rsidRPr="00B72272" w:rsidRDefault="00000000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pict w14:anchorId="421652DD">
          <v:rect id="_x0000_i1028" style="width:0;height:1.5pt" o:hralign="center" o:hrstd="t" o:hr="t" fillcolor="#a0a0a0" stroked="f"/>
        </w:pict>
      </w:r>
    </w:p>
    <w:p w14:paraId="255271E6" w14:textId="097D0519" w:rsidR="00E748AE" w:rsidRPr="00F53B47" w:rsidRDefault="00F414AA" w:rsidP="00E748AE">
      <w:pPr>
        <w:rPr>
          <w:rFonts w:ascii="Calibri" w:hAnsi="Calibri" w:cs="Calibri"/>
          <w:color w:val="156082" w:themeColor="accent1"/>
          <w:sz w:val="28"/>
          <w:szCs w:val="28"/>
        </w:rPr>
      </w:pPr>
      <w:r w:rsidRPr="00F53B47">
        <w:rPr>
          <w:rFonts w:ascii="Calibri" w:hAnsi="Calibri" w:cs="Calibri"/>
          <w:color w:val="156082" w:themeColor="accent1"/>
          <w:sz w:val="28"/>
          <w:szCs w:val="28"/>
        </w:rPr>
        <w:t xml:space="preserve">3. </w:t>
      </w:r>
      <w:r w:rsidR="00E748AE" w:rsidRPr="00F53B47">
        <w:rPr>
          <w:rFonts w:ascii="Calibri" w:hAnsi="Calibri" w:cs="Calibri"/>
          <w:color w:val="156082" w:themeColor="accent1"/>
          <w:sz w:val="28"/>
          <w:szCs w:val="28"/>
          <w:highlight w:val="yellow"/>
        </w:rPr>
        <w:t>Create Role-Based Narratives</w:t>
      </w:r>
    </w:p>
    <w:p w14:paraId="66E852A1" w14:textId="77777777" w:rsidR="00E748AE" w:rsidRPr="00B72272" w:rsidRDefault="00E748AE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Different users decide differently — the UX and messaging should reflect that:</w:t>
      </w:r>
    </w:p>
    <w:p w14:paraId="79B6CEAA" w14:textId="77777777" w:rsidR="00E748AE" w:rsidRPr="00B72272" w:rsidRDefault="00E748AE" w:rsidP="00E748AE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b/>
          <w:bCs/>
          <w:sz w:val="24"/>
          <w:szCs w:val="24"/>
        </w:rPr>
        <w:t>Insurers</w:t>
      </w:r>
      <w:r w:rsidRPr="00B72272">
        <w:rPr>
          <w:rFonts w:ascii="Calibri" w:hAnsi="Calibri" w:cs="Calibri"/>
          <w:sz w:val="24"/>
          <w:szCs w:val="24"/>
        </w:rPr>
        <w:t xml:space="preserve"> → underwriting confidence &amp; loss predictability</w:t>
      </w:r>
    </w:p>
    <w:p w14:paraId="75234A56" w14:textId="77777777" w:rsidR="00E748AE" w:rsidRPr="00B72272" w:rsidRDefault="00E748AE" w:rsidP="00E748AE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b/>
          <w:bCs/>
          <w:sz w:val="24"/>
          <w:szCs w:val="24"/>
        </w:rPr>
        <w:t>Lenders</w:t>
      </w:r>
      <w:r w:rsidRPr="00B72272">
        <w:rPr>
          <w:rFonts w:ascii="Calibri" w:hAnsi="Calibri" w:cs="Calibri"/>
          <w:sz w:val="24"/>
          <w:szCs w:val="24"/>
        </w:rPr>
        <w:t xml:space="preserve"> → portfolio risk, long-term exposure &amp; compliance</w:t>
      </w:r>
    </w:p>
    <w:p w14:paraId="65E7CBBD" w14:textId="77777777" w:rsidR="00E748AE" w:rsidRPr="00B72272" w:rsidRDefault="00E748AE" w:rsidP="00E748AE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b/>
          <w:bCs/>
          <w:sz w:val="24"/>
          <w:szCs w:val="24"/>
        </w:rPr>
        <w:t>Enterprises</w:t>
      </w:r>
      <w:r w:rsidRPr="00B72272">
        <w:rPr>
          <w:rFonts w:ascii="Calibri" w:hAnsi="Calibri" w:cs="Calibri"/>
          <w:sz w:val="24"/>
          <w:szCs w:val="24"/>
        </w:rPr>
        <w:t xml:space="preserve"> → asset protection &amp; operational continuity</w:t>
      </w:r>
    </w:p>
    <w:p w14:paraId="087FED4D" w14:textId="77777777" w:rsidR="00E748AE" w:rsidRPr="00B72272" w:rsidRDefault="00E748AE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 xml:space="preserve">The same AI, explained through </w:t>
      </w:r>
      <w:r w:rsidRPr="00B72272">
        <w:rPr>
          <w:rFonts w:ascii="Calibri" w:hAnsi="Calibri" w:cs="Calibri"/>
          <w:b/>
          <w:bCs/>
          <w:sz w:val="24"/>
          <w:szCs w:val="24"/>
        </w:rPr>
        <w:t>different decision lenses</w:t>
      </w:r>
      <w:r w:rsidRPr="00B72272">
        <w:rPr>
          <w:rFonts w:ascii="Calibri" w:hAnsi="Calibri" w:cs="Calibri"/>
          <w:sz w:val="24"/>
          <w:szCs w:val="24"/>
        </w:rPr>
        <w:t>.</w:t>
      </w:r>
    </w:p>
    <w:p w14:paraId="2EBF5C12" w14:textId="77777777" w:rsidR="00E748AE" w:rsidRPr="00B72272" w:rsidRDefault="00000000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pict w14:anchorId="6D75BAEE">
          <v:rect id="_x0000_i1029" style="width:0;height:1.5pt" o:hralign="center" o:hrstd="t" o:hr="t" fillcolor="#a0a0a0" stroked="f"/>
        </w:pict>
      </w:r>
    </w:p>
    <w:p w14:paraId="330C886E" w14:textId="77777777" w:rsidR="00F53B47" w:rsidRDefault="00F53B47" w:rsidP="00E748AE">
      <w:pPr>
        <w:rPr>
          <w:rFonts w:ascii="Calibri" w:hAnsi="Calibri" w:cs="Calibri"/>
          <w:color w:val="156082" w:themeColor="accent1"/>
          <w:sz w:val="32"/>
          <w:szCs w:val="32"/>
        </w:rPr>
      </w:pPr>
    </w:p>
    <w:p w14:paraId="7E3BE1BF" w14:textId="7FD1EA0A" w:rsidR="00E748AE" w:rsidRPr="00F53B47" w:rsidRDefault="00E748AE" w:rsidP="00E748AE">
      <w:pPr>
        <w:rPr>
          <w:rFonts w:ascii="Calibri" w:hAnsi="Calibri" w:cs="Calibri"/>
          <w:color w:val="156082" w:themeColor="accent1"/>
          <w:sz w:val="32"/>
          <w:szCs w:val="32"/>
        </w:rPr>
      </w:pPr>
      <w:r w:rsidRPr="00F53B47">
        <w:rPr>
          <w:rFonts w:ascii="Calibri" w:hAnsi="Calibri" w:cs="Calibri"/>
          <w:color w:val="156082" w:themeColor="accent1"/>
          <w:sz w:val="32"/>
          <w:szCs w:val="32"/>
        </w:rPr>
        <w:lastRenderedPageBreak/>
        <w:t>Execution Reality</w:t>
      </w:r>
    </w:p>
    <w:p w14:paraId="5A5059F7" w14:textId="77777777" w:rsidR="00E748AE" w:rsidRPr="00B72272" w:rsidRDefault="00E748AE" w:rsidP="00E748AE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 xml:space="preserve">Can be driven initially by </w:t>
      </w:r>
      <w:r w:rsidRPr="00B72272">
        <w:rPr>
          <w:rFonts w:ascii="Calibri" w:hAnsi="Calibri" w:cs="Calibri"/>
          <w:b/>
          <w:bCs/>
          <w:sz w:val="24"/>
          <w:szCs w:val="24"/>
        </w:rPr>
        <w:t>one senior product/UX leader</w:t>
      </w:r>
    </w:p>
    <w:p w14:paraId="5798430D" w14:textId="77777777" w:rsidR="00E748AE" w:rsidRPr="00B72272" w:rsidRDefault="00E748AE" w:rsidP="00E748AE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No large team required upfront</w:t>
      </w:r>
    </w:p>
    <w:p w14:paraId="07514043" w14:textId="77777777" w:rsidR="00E748AE" w:rsidRPr="00B72272" w:rsidRDefault="00E748AE" w:rsidP="00E748AE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 xml:space="preserve">Team scales </w:t>
      </w:r>
      <w:r w:rsidRPr="00B72272">
        <w:rPr>
          <w:rFonts w:ascii="Calibri" w:hAnsi="Calibri" w:cs="Calibri"/>
          <w:b/>
          <w:bCs/>
          <w:sz w:val="24"/>
          <w:szCs w:val="24"/>
        </w:rPr>
        <w:t>after clarity, adoption, and traction are proven</w:t>
      </w:r>
    </w:p>
    <w:p w14:paraId="531B0B74" w14:textId="77777777" w:rsidR="00E748AE" w:rsidRPr="00B72272" w:rsidRDefault="00000000" w:rsidP="00E748AE">
      <w:p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pict w14:anchorId="589123B6">
          <v:rect id="_x0000_i1030" style="width:0;height:1.5pt" o:hralign="center" o:hrstd="t" o:hr="t" fillcolor="#a0a0a0" stroked="f"/>
        </w:pict>
      </w:r>
    </w:p>
    <w:p w14:paraId="4B13EE04" w14:textId="77777777" w:rsidR="004D30E6" w:rsidRDefault="004D30E6" w:rsidP="00E748AE">
      <w:pPr>
        <w:rPr>
          <w:rFonts w:ascii="Calibri" w:hAnsi="Calibri" w:cs="Calibri"/>
          <w:color w:val="156082" w:themeColor="accent1"/>
          <w:sz w:val="28"/>
          <w:szCs w:val="28"/>
        </w:rPr>
      </w:pPr>
    </w:p>
    <w:p w14:paraId="4F93350F" w14:textId="5A88BEFE" w:rsidR="00E748AE" w:rsidRPr="00685FB8" w:rsidRDefault="00E748AE" w:rsidP="00E748AE">
      <w:pPr>
        <w:rPr>
          <w:rFonts w:ascii="Calibri" w:hAnsi="Calibri" w:cs="Calibri"/>
          <w:color w:val="156082" w:themeColor="accent1"/>
          <w:sz w:val="32"/>
          <w:szCs w:val="32"/>
        </w:rPr>
      </w:pPr>
      <w:r w:rsidRPr="00685FB8">
        <w:rPr>
          <w:rFonts w:ascii="Calibri" w:hAnsi="Calibri" w:cs="Calibri"/>
          <w:color w:val="156082" w:themeColor="accent1"/>
          <w:sz w:val="32"/>
          <w:szCs w:val="32"/>
        </w:rPr>
        <w:t>Why This Matters</w:t>
      </w:r>
      <w:r w:rsidR="00F414AA" w:rsidRPr="00685FB8">
        <w:rPr>
          <w:rFonts w:ascii="Calibri" w:hAnsi="Calibri" w:cs="Calibri"/>
          <w:color w:val="156082" w:themeColor="accent1"/>
          <w:sz w:val="32"/>
          <w:szCs w:val="32"/>
        </w:rPr>
        <w:t>?</w:t>
      </w:r>
    </w:p>
    <w:p w14:paraId="5D676B12" w14:textId="77777777" w:rsidR="00E748AE" w:rsidRPr="00AB6E3A" w:rsidRDefault="00E748AE" w:rsidP="00E748AE">
      <w:pPr>
        <w:rPr>
          <w:rFonts w:ascii="Calibri" w:hAnsi="Calibri" w:cs="Calibri"/>
          <w:i/>
          <w:iCs/>
          <w:sz w:val="28"/>
          <w:szCs w:val="28"/>
        </w:rPr>
      </w:pPr>
      <w:r w:rsidRPr="00AB6E3A">
        <w:rPr>
          <w:rFonts w:ascii="Calibri" w:hAnsi="Calibri" w:cs="Calibri"/>
          <w:i/>
          <w:iCs/>
          <w:sz w:val="28"/>
          <w:szCs w:val="28"/>
        </w:rPr>
        <w:t xml:space="preserve">This is a </w:t>
      </w:r>
      <w:r w:rsidRPr="00AB6E3A">
        <w:rPr>
          <w:rFonts w:ascii="Calibri" w:hAnsi="Calibri" w:cs="Calibri"/>
          <w:b/>
          <w:bCs/>
          <w:i/>
          <w:iCs/>
          <w:sz w:val="28"/>
          <w:szCs w:val="28"/>
        </w:rPr>
        <w:t>leverage</w:t>
      </w:r>
      <w:r w:rsidRPr="00AB6E3A">
        <w:rPr>
          <w:rFonts w:ascii="Calibri" w:hAnsi="Calibri" w:cs="Calibri"/>
          <w:i/>
          <w:iCs/>
          <w:sz w:val="28"/>
          <w:szCs w:val="28"/>
        </w:rPr>
        <w:t xml:space="preserve"> role:</w:t>
      </w:r>
    </w:p>
    <w:p w14:paraId="63837D95" w14:textId="77777777" w:rsidR="00E748AE" w:rsidRPr="00B72272" w:rsidRDefault="00E748AE" w:rsidP="00E748AE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Small, focused input</w:t>
      </w:r>
    </w:p>
    <w:p w14:paraId="4675BA7C" w14:textId="77777777" w:rsidR="00E748AE" w:rsidRPr="00B72272" w:rsidRDefault="00E748AE" w:rsidP="00E748AE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High impact on adoption, trust, and conversion</w:t>
      </w:r>
    </w:p>
    <w:p w14:paraId="2D7FFC77" w14:textId="77777777" w:rsidR="00E748AE" w:rsidRPr="00B72272" w:rsidRDefault="00E748AE" w:rsidP="00E748AE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B72272">
        <w:rPr>
          <w:rFonts w:ascii="Calibri" w:hAnsi="Calibri" w:cs="Calibri"/>
          <w:sz w:val="24"/>
          <w:szCs w:val="24"/>
        </w:rPr>
        <w:t>Direct alignment with Plutas’ business goals</w:t>
      </w:r>
    </w:p>
    <w:p w14:paraId="22053DC5" w14:textId="38D71CE7" w:rsidR="00E748AE" w:rsidRPr="00B25027" w:rsidRDefault="00B25027" w:rsidP="008760BA">
      <w:pPr>
        <w:rPr>
          <w:rFonts w:ascii="Calibri" w:hAnsi="Calibri" w:cs="Calibri"/>
          <w:i/>
          <w:iCs/>
          <w:color w:val="156082" w:themeColor="accent1"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br/>
      </w:r>
      <w:r w:rsidR="00E748AE" w:rsidRPr="00B25027">
        <w:rPr>
          <w:rFonts w:ascii="Calibri" w:hAnsi="Calibri" w:cs="Calibri"/>
          <w:i/>
          <w:iCs/>
          <w:color w:val="156082" w:themeColor="accent1"/>
          <w:sz w:val="28"/>
          <w:szCs w:val="28"/>
        </w:rPr>
        <w:t xml:space="preserve">Plutas already has the intelligence — </w:t>
      </w:r>
      <w:r w:rsidR="00E748AE" w:rsidRPr="00B25027">
        <w:rPr>
          <w:rFonts w:ascii="Calibri" w:hAnsi="Calibri" w:cs="Calibri"/>
          <w:b/>
          <w:bCs/>
          <w:i/>
          <w:iCs/>
          <w:color w:val="156082" w:themeColor="accent1"/>
          <w:sz w:val="28"/>
          <w:szCs w:val="28"/>
        </w:rPr>
        <w:t>this role unlocks its business value</w:t>
      </w:r>
      <w:r w:rsidR="00E748AE" w:rsidRPr="00B25027">
        <w:rPr>
          <w:rFonts w:ascii="Calibri" w:hAnsi="Calibri" w:cs="Calibri"/>
          <w:i/>
          <w:iCs/>
          <w:color w:val="156082" w:themeColor="accent1"/>
          <w:sz w:val="28"/>
          <w:szCs w:val="28"/>
        </w:rPr>
        <w:t>.</w:t>
      </w:r>
    </w:p>
    <w:p w14:paraId="60D51E86" w14:textId="77777777" w:rsidR="00D1201C" w:rsidRPr="008851A4" w:rsidRDefault="00D1201C" w:rsidP="00E748AE">
      <w:pPr>
        <w:rPr>
          <w:rFonts w:ascii="Calibri" w:hAnsi="Calibri" w:cs="Calibri"/>
          <w:sz w:val="20"/>
          <w:szCs w:val="20"/>
        </w:rPr>
      </w:pPr>
    </w:p>
    <w:sectPr w:rsidR="00D1201C" w:rsidRPr="00885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3EA6"/>
    <w:multiLevelType w:val="multilevel"/>
    <w:tmpl w:val="70F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E602E"/>
    <w:multiLevelType w:val="multilevel"/>
    <w:tmpl w:val="34A0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920FC"/>
    <w:multiLevelType w:val="multilevel"/>
    <w:tmpl w:val="58D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15AE1"/>
    <w:multiLevelType w:val="multilevel"/>
    <w:tmpl w:val="6EE8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D0021"/>
    <w:multiLevelType w:val="multilevel"/>
    <w:tmpl w:val="493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B27CE"/>
    <w:multiLevelType w:val="multilevel"/>
    <w:tmpl w:val="A21E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2166E"/>
    <w:multiLevelType w:val="multilevel"/>
    <w:tmpl w:val="6416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E4CA9"/>
    <w:multiLevelType w:val="multilevel"/>
    <w:tmpl w:val="595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833BC"/>
    <w:multiLevelType w:val="multilevel"/>
    <w:tmpl w:val="EBD4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E1212"/>
    <w:multiLevelType w:val="multilevel"/>
    <w:tmpl w:val="C714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25FAD"/>
    <w:multiLevelType w:val="multilevel"/>
    <w:tmpl w:val="7B1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93D73"/>
    <w:multiLevelType w:val="multilevel"/>
    <w:tmpl w:val="392A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13BBD"/>
    <w:multiLevelType w:val="multilevel"/>
    <w:tmpl w:val="2424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222F7"/>
    <w:multiLevelType w:val="multilevel"/>
    <w:tmpl w:val="47C6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4413F"/>
    <w:multiLevelType w:val="multilevel"/>
    <w:tmpl w:val="AB3C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E66E1"/>
    <w:multiLevelType w:val="multilevel"/>
    <w:tmpl w:val="4888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14739"/>
    <w:multiLevelType w:val="multilevel"/>
    <w:tmpl w:val="244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567868">
    <w:abstractNumId w:val="8"/>
  </w:num>
  <w:num w:numId="2" w16cid:durableId="1565412336">
    <w:abstractNumId w:val="13"/>
  </w:num>
  <w:num w:numId="3" w16cid:durableId="48119285">
    <w:abstractNumId w:val="0"/>
  </w:num>
  <w:num w:numId="4" w16cid:durableId="607586160">
    <w:abstractNumId w:val="3"/>
  </w:num>
  <w:num w:numId="5" w16cid:durableId="67656809">
    <w:abstractNumId w:val="2"/>
  </w:num>
  <w:num w:numId="6" w16cid:durableId="865875253">
    <w:abstractNumId w:val="14"/>
  </w:num>
  <w:num w:numId="7" w16cid:durableId="1798254241">
    <w:abstractNumId w:val="16"/>
  </w:num>
  <w:num w:numId="8" w16cid:durableId="1073703547">
    <w:abstractNumId w:val="1"/>
  </w:num>
  <w:num w:numId="9" w16cid:durableId="1011757811">
    <w:abstractNumId w:val="10"/>
  </w:num>
  <w:num w:numId="10" w16cid:durableId="1563831437">
    <w:abstractNumId w:val="12"/>
  </w:num>
  <w:num w:numId="11" w16cid:durableId="1629119135">
    <w:abstractNumId w:val="11"/>
  </w:num>
  <w:num w:numId="12" w16cid:durableId="1922181958">
    <w:abstractNumId w:val="7"/>
  </w:num>
  <w:num w:numId="13" w16cid:durableId="1597010979">
    <w:abstractNumId w:val="9"/>
  </w:num>
  <w:num w:numId="14" w16cid:durableId="1274433461">
    <w:abstractNumId w:val="6"/>
  </w:num>
  <w:num w:numId="15" w16cid:durableId="1020007392">
    <w:abstractNumId w:val="4"/>
  </w:num>
  <w:num w:numId="16" w16cid:durableId="144973234">
    <w:abstractNumId w:val="5"/>
  </w:num>
  <w:num w:numId="17" w16cid:durableId="5638819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C8"/>
    <w:rsid w:val="000314C8"/>
    <w:rsid w:val="00095D6D"/>
    <w:rsid w:val="000F5352"/>
    <w:rsid w:val="00137C50"/>
    <w:rsid w:val="00155A3F"/>
    <w:rsid w:val="00192B35"/>
    <w:rsid w:val="001E01FE"/>
    <w:rsid w:val="001E6B92"/>
    <w:rsid w:val="002046EB"/>
    <w:rsid w:val="00260BB6"/>
    <w:rsid w:val="00291FE7"/>
    <w:rsid w:val="002A0D42"/>
    <w:rsid w:val="002C55FF"/>
    <w:rsid w:val="00312ABD"/>
    <w:rsid w:val="003454D0"/>
    <w:rsid w:val="00385638"/>
    <w:rsid w:val="00473091"/>
    <w:rsid w:val="004A27F9"/>
    <w:rsid w:val="004D3067"/>
    <w:rsid w:val="004D30E6"/>
    <w:rsid w:val="005104AA"/>
    <w:rsid w:val="005122CA"/>
    <w:rsid w:val="00540806"/>
    <w:rsid w:val="005D7094"/>
    <w:rsid w:val="005F6739"/>
    <w:rsid w:val="00600EAD"/>
    <w:rsid w:val="006220BE"/>
    <w:rsid w:val="00623F4B"/>
    <w:rsid w:val="006753CE"/>
    <w:rsid w:val="00685FB8"/>
    <w:rsid w:val="006B3F88"/>
    <w:rsid w:val="00710B8A"/>
    <w:rsid w:val="00792862"/>
    <w:rsid w:val="00842D81"/>
    <w:rsid w:val="008760BA"/>
    <w:rsid w:val="008851A4"/>
    <w:rsid w:val="00983C1B"/>
    <w:rsid w:val="009936EF"/>
    <w:rsid w:val="009E4A4D"/>
    <w:rsid w:val="009E78C6"/>
    <w:rsid w:val="00A053EC"/>
    <w:rsid w:val="00A5546F"/>
    <w:rsid w:val="00A55C39"/>
    <w:rsid w:val="00A85579"/>
    <w:rsid w:val="00AB6E3A"/>
    <w:rsid w:val="00B047EB"/>
    <w:rsid w:val="00B25027"/>
    <w:rsid w:val="00B374DF"/>
    <w:rsid w:val="00B72272"/>
    <w:rsid w:val="00C91D2B"/>
    <w:rsid w:val="00CE4919"/>
    <w:rsid w:val="00D043BB"/>
    <w:rsid w:val="00D06FB0"/>
    <w:rsid w:val="00D1201C"/>
    <w:rsid w:val="00D17238"/>
    <w:rsid w:val="00D36C1B"/>
    <w:rsid w:val="00D64443"/>
    <w:rsid w:val="00DF4838"/>
    <w:rsid w:val="00E13372"/>
    <w:rsid w:val="00E5605C"/>
    <w:rsid w:val="00E62F7F"/>
    <w:rsid w:val="00E748AE"/>
    <w:rsid w:val="00E93954"/>
    <w:rsid w:val="00EE5582"/>
    <w:rsid w:val="00F15BFC"/>
    <w:rsid w:val="00F414AA"/>
    <w:rsid w:val="00F5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5B303"/>
  <w15:chartTrackingRefBased/>
  <w15:docId w15:val="{1E953A45-154E-4C8A-94EA-04DA1CD89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514</Words>
  <Characters>2933</Characters>
  <Application>Microsoft Office Word</Application>
  <DocSecurity>0</DocSecurity>
  <Lines>86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v.anupriya@outlook.com</dc:creator>
  <cp:keywords/>
  <dc:description/>
  <cp:lastModifiedBy>v.anupriya@outlook.com</cp:lastModifiedBy>
  <cp:revision>59</cp:revision>
  <dcterms:created xsi:type="dcterms:W3CDTF">2026-02-05T17:11:00Z</dcterms:created>
  <dcterms:modified xsi:type="dcterms:W3CDTF">2026-02-06T08:20:00Z</dcterms:modified>
</cp:coreProperties>
</file>