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0" t="0" r="25600"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b/>
                <w:color w:val="CE181E"/>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 xml:space="preserve">The electronic power steering ECU shall ensure that the lane keeping assistance torque is applied for only a </w:t>
            </w:r>
            <w:r>
              <w:rPr/>
              <w:t>Max_D</w:t>
            </w:r>
            <w:r>
              <w:rPr/>
              <w:t>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2"/>
        <w:spacing w:before="0" w:after="0"/>
        <w:contextualSpacing/>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8195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486400" cy="3819525"/>
                    </a:xfrm>
                    <a:prstGeom prst="rect">
                      <a:avLst/>
                    </a:prstGeom>
                  </pic:spPr>
                </pic:pic>
              </a:graphicData>
            </a:graphic>
          </wp:anchor>
        </w:drawing>
      </w:r>
    </w:p>
    <w:p>
      <w:pPr>
        <w:pStyle w:val="Heading2"/>
        <w:spacing w:before="0" w:after="0"/>
        <w:contextualSpacing/>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8</Pages>
  <Words>932</Words>
  <Characters>5608</Characters>
  <CharactersWithSpaces>6379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2019-02-01T06:25:00Z</dcterms:modified>
  <cp:revision>3</cp:revision>
  <dc:subject/>
  <dc:title/>
</cp:coreProperties>
</file>