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Probabilistic Seismic Hazard Assessment</w:t>
      </w:r>
    </w:p>
    <w:p>
      <w:pPr>
        <w:pStyle w:val="Subtitle"/>
      </w:pPr>
      <w:r>
        <w:t xml:space="preserve">Iduapriem Gold Mine, Ghana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sha-review"/>
    <w:p>
      <w:pPr>
        <w:pStyle w:val="Heading1"/>
      </w:pPr>
      <w:r>
        <w:t xml:space="preserve">PSHA Review</w:t>
      </w:r>
    </w:p>
    <w:bookmarkStart w:id="21" w:name="png-regional-hazard"/>
    <w:p>
      <w:pPr>
        <w:pStyle w:val="Heading2"/>
      </w:pPr>
      <w:r>
        <w:t xml:space="preserve">PNG Regional Hazard</w:t>
      </w:r>
    </w:p>
    <w:p>
      <w:pPr>
        <w:pStyle w:val="BlockText"/>
      </w:pPr>
      <w:r>
        <w:rPr>
          <w:b/>
          <w:bCs/>
        </w:rPr>
        <w:t xml:space="preserve">ATC/W response:</w:t>
      </w:r>
      <w:r>
        <w:t xml:space="preserve"> </w:t>
      </w:r>
      <w:r>
        <w:rPr>
          <w:i/>
          <w:iCs/>
        </w:rPr>
        <w:t xml:space="preserve">We are not aware of any published studies that indicate a PGA in excess of 0.90g for an AEP of 1:475 at the TSF location. Please provide the above-mentioned published study that supports this claim.</w:t>
      </w:r>
    </w:p>
    <w:p>
      <w:pPr>
        <w:pStyle w:val="FirstParagraph"/>
      </w:pPr>
      <w:r>
        <w:t xml:space="preserve">The seismic sources referenced by K92 are the</w:t>
      </w:r>
      <w:r>
        <w:t xml:space="preserve"> </w:t>
      </w:r>
      <w:r>
        <w:rPr>
          <w:b/>
          <w:bCs/>
        </w:rPr>
        <w:t xml:space="preserve">Ramu–Markham Fault System (RMFS)</w:t>
      </w:r>
      <w:r>
        <w:t xml:space="preserve">, located within 15 km of the tailings facility and capable of full-segment ruptures with magnitudes Mw 8.1–8.3</w:t>
      </w:r>
      <w:r>
        <w:t xml:space="preserve"> </w:t>
      </w:r>
      <w:r>
        <w:t xml:space="preserve">(Wallace et al. 2021)</w:t>
      </w:r>
      <w:r>
        <w:t xml:space="preserve">, and the</w:t>
      </w:r>
      <w:r>
        <w:t xml:space="preserve"> </w:t>
      </w:r>
      <w:r>
        <w:rPr>
          <w:b/>
          <w:bCs/>
        </w:rPr>
        <w:t xml:space="preserve">New Britain (NB) subduction interface</w:t>
      </w:r>
      <w:r>
        <w:t xml:space="preserve">, known to have produced megathrust events with magnitudes ranging from Mw 8.0 to 8.8</w:t>
      </w:r>
      <w:r>
        <w:t xml:space="preserve"> </w:t>
      </w:r>
      <w:r>
        <w:t xml:space="preserve">(United States Geological Survey 2007)</w:t>
      </w:r>
      <w:r>
        <w:t xml:space="preserve">. Published studies reporting PGA values close to 0.90g for the region include those by</w:t>
      </w:r>
      <w:r>
        <w:t xml:space="preserve"> </w:t>
      </w:r>
      <w:r>
        <w:t xml:space="preserve">(Hadi Ghasemi et al. 2020)</w:t>
      </w:r>
      <w:r>
        <w:t xml:space="preserve"> </w:t>
      </w:r>
      <w:r>
        <w:t xml:space="preserve">and the GEM seismic hazard model documentation for Papua New Guinea</w:t>
      </w:r>
      <w:r>
        <w:t xml:space="preserve"> </w:t>
      </w:r>
      <w:r>
        <w:t xml:space="preserve">(Global Earthquake Model Foundation 2023)</w:t>
      </w:r>
      <w:r>
        <w:t xml:space="preserve">, available online here: (</w:t>
      </w:r>
      <w:hyperlink r:id="rId20">
        <w:r>
          <w:rPr>
            <w:rStyle w:val="Hyperlink"/>
          </w:rPr>
          <w:t xml:space="preserve">PDF</w:t>
        </w:r>
      </w:hyperlink>
      <w:r>
        <w:t xml:space="preserve">). The K92 comment stands.</w:t>
      </w:r>
    </w:p>
    <w:bookmarkEnd w:id="21"/>
    <w:bookmarkStart w:id="23" w:name="png-regional-hazard-1"/>
    <w:p>
      <w:pPr>
        <w:pStyle w:val="Heading2"/>
      </w:pPr>
      <w:r>
        <w:t xml:space="preserve">PNG Regional Hazard</w:t>
      </w:r>
    </w:p>
    <w:p>
      <w:pPr>
        <w:pStyle w:val="BlockText"/>
      </w:pPr>
      <w:r>
        <w:rPr>
          <w:b/>
          <w:bCs/>
        </w:rPr>
        <w:t xml:space="preserve">ATC/W response:</w:t>
      </w:r>
      <w:r>
        <w:t xml:space="preserve"> </w:t>
      </w:r>
      <w:r>
        <w:rPr>
          <w:i/>
          <w:iCs/>
        </w:rPr>
        <w:t xml:space="preserve">Unless we find more convincing data that</w:t>
      </w:r>
      <w:r>
        <w:rPr>
          <w:i/>
          <w:iCs/>
        </w:rPr>
        <w:t xml:space="preserve"> </w:t>
      </w:r>
      <m:oMath>
        <m:sSub>
          <m:e>
            <m:r>
              <m:t>M</m:t>
            </m:r>
          </m:e>
          <m:sub>
            <m:r>
              <m:rPr>
                <m:sty m:val="p"/>
              </m:rPr>
              <m:t>max</m:t>
            </m:r>
          </m:sub>
        </m:sSub>
      </m:oMath>
      <w:r>
        <w:rPr>
          <w:i/>
          <w:iCs/>
        </w:rPr>
        <w:t xml:space="preserve"> </w:t>
      </w:r>
      <w:r>
        <w:rPr>
          <w:i/>
          <w:iCs/>
        </w:rPr>
        <w:t xml:space="preserve">for the faults surrounding the site considered in this analysis are higher, we believe that the PSHA results developed by ATCW (2020) are still valid. Therefore, we assess that there is no need to reassess the seismic hazard at the site at present.</w:t>
      </w:r>
    </w:p>
    <w:p>
      <w:pPr>
        <w:pStyle w:val="FirstParagraph"/>
      </w:pPr>
      <w:r>
        <w:t xml:space="preserve">An independent probabilistic seismic hazard analysis was conducted by SRK at the TSF coordinates using the Papua New Guinea seismic hazard logic tree developed by the Global Earthquake Model</w:t>
      </w:r>
      <w:r>
        <w:t xml:space="preserve"> </w:t>
      </w:r>
      <w:r>
        <w:t xml:space="preserve">(Global Earthquake Model Foundation 2023)</w:t>
      </w:r>
      <w:r>
        <w:t xml:space="preserve">. The internal details of the ATC/W logic tree — including source‐zone definitions, recurrence parameters, GMPE selection, and their assigned weights — are not publicly disclosed. Technical documentation for the ground‐motion equations, source models, and logic trees in the GEM 2020 hazard model is available onlinein the following</w:t>
      </w:r>
      <w:r>
        <w:t xml:space="preserve"> </w:t>
      </w:r>
      <w:hyperlink r:id="rId22">
        <w:r>
          <w:rPr>
            <w:rStyle w:val="Hyperlink"/>
          </w:rPr>
          <w:t xml:space="preserve">URL</w:t>
        </w:r>
      </w:hyperlink>
      <w:r>
        <w:t xml:space="preserve">.</w:t>
      </w:r>
    </w:p>
    <w:p>
      <w:pPr>
        <w:pStyle w:val="BodyText"/>
      </w:pPr>
      <w:r>
        <w:t xml:space="preserve">The independent SRK analysis produced a peak ground acceleration (PGA) of 0.63 g for reference rock (</w:t>
      </w:r>
      <m:oMath>
        <m:r>
          <m:t>V</m:t>
        </m:r>
        <m:sSub>
          <m:e>
            <m:r>
              <m:t>s</m:t>
            </m:r>
          </m:e>
          <m:sub>
            <m:r>
              <m:t>30</m:t>
            </m:r>
          </m:sub>
        </m:sSub>
        <m:r>
          <m:rPr>
            <m:sty m:val="p"/>
          </m:rPr>
          <m:t>≈</m:t>
        </m:r>
        <m:r>
          <m:t>760</m:t>
        </m:r>
      </m:oMath>
      <w:r>
        <w:t xml:space="preserve"> </w:t>
      </w:r>
      <w:r>
        <w:t xml:space="preserve">m/s) at an annual exceedance probability (AEP) of 1/475. This result is consistent with the range of 0.70–1.10 g reported by the GEM 2023 Global Seismic Hazard Map for the Markham–Kainantu region. For the same return period, ATC/W adopted a PGA of 0.31 g, which is approximately 50.8% lower than the independent result and also below the GEM 2023 range (0.59–0.89 g).</w:t>
      </w:r>
    </w:p>
    <w:p>
      <w:pPr>
        <w:pStyle w:val="BodyText"/>
      </w:pPr>
      <w:r>
        <w:t xml:space="preserve">For the Operating Basis Earthquake (1/2,000 yr), the ATC/W 2020 PSHA adopts a PGA of 0.53 g for reference rock (</w:t>
      </w:r>
      <m:oMath>
        <m:r>
          <m:t>V</m:t>
        </m:r>
        <m:sSub>
          <m:e>
            <m:r>
              <m:t>s</m:t>
            </m:r>
          </m:e>
          <m:sub>
            <m:r>
              <m:t>30</m:t>
            </m:r>
          </m:sub>
        </m:sSub>
        <m:r>
          <m:rPr>
            <m:sty m:val="p"/>
          </m:rPr>
          <m:t>≈</m:t>
        </m:r>
        <m:r>
          <m:t>760</m:t>
        </m:r>
      </m:oMath>
      <w:r>
        <w:t xml:space="preserve"> </w:t>
      </w:r>
      <w:r>
        <w:t xml:space="preserve">m/s). The GEM 2023 model reports a PGA of 0.98 g for the same conditions, representing a 45.9% higher value than that used by ATC/W.</w:t>
      </w:r>
    </w:p>
    <w:p>
      <w:pPr>
        <w:pStyle w:val="BodyText"/>
      </w:pPr>
      <w:r>
        <w:t xml:space="preserve">A benchmark ergodic, nonlinear site-response analysis performed at the TSF coordinates indicates also that peak ground acceleration (PGA) values for softer soils (Site Class D) are approximately 40% lower than those computed for rock conditions (Site Class BC). The differences become more pronounced at longer return periods. These results indicate significant nonlinear amplification effects at the TSF location for alluvial soils and larger (SEE/MCE) seismic events.</w:t>
      </w:r>
    </w:p>
    <w:bookmarkEnd w:id="23"/>
    <w:bookmarkStart w:id="24" w:name="rupture-size-m_max"/>
    <w:p>
      <w:pPr>
        <w:pStyle w:val="Heading2"/>
      </w:pPr>
      <w:r>
        <w:t xml:space="preserve">Rupture Size</w:t>
      </w:r>
      <w:r>
        <w:t xml:space="preserve"> </w:t>
      </w:r>
      <m:oMath>
        <m:d>
          <m:dPr>
            <m:begChr m:val="("/>
            <m:sepChr m:val=""/>
            <m:endChr m:val=")"/>
            <m:grow/>
          </m:dPr>
          <m:e>
            <m:sSub>
              <m:e>
                <m:r>
                  <m:t>M</m:t>
                </m:r>
              </m:e>
              <m:sub>
                <m:r>
                  <m:rPr>
                    <m:sty m:val="p"/>
                  </m:rPr>
                  <m:t>max</m:t>
                </m:r>
              </m:sub>
            </m:sSub>
          </m:e>
        </m:d>
      </m:oMath>
    </w:p>
    <w:p>
      <w:pPr>
        <w:pStyle w:val="BlockText"/>
      </w:pPr>
      <w:r>
        <w:rPr>
          <w:b/>
          <w:bCs/>
        </w:rPr>
        <w:t xml:space="preserve">ATC/W response:</w:t>
      </w:r>
      <w:r>
        <w:t xml:space="preserve"> </w:t>
      </w:r>
      <w:r>
        <w:rPr>
          <w:i/>
          <w:iCs/>
        </w:rPr>
        <w:t xml:space="preserve">It is worth noting that the Ghasemi et al. (2016) area source model adopted a higher Mmax than those adopted by the DIM-ASIA area source model, i.e. Mmax of 8.0 to 8.8 compared to 7.5 to 8.5. Thus, the Gashemi et al. (2016) model tends to give much higher computed ground accelerations.</w:t>
      </w:r>
    </w:p>
    <w:p>
      <w:pPr>
        <w:pStyle w:val="FirstParagraph"/>
      </w:pPr>
      <w:r>
        <w:t xml:space="preserve">The differences in computed ground accelerations between the Ghasemi et al.</w:t>
      </w:r>
      <w:r>
        <w:t xml:space="preserve"> </w:t>
      </w:r>
      <w:r>
        <w:t xml:space="preserve">(2016)</w:t>
      </w:r>
      <w:r>
        <w:t xml:space="preserve"> </w:t>
      </w:r>
      <w:r>
        <w:t xml:space="preserve">and DIM–ASIA</w:t>
      </w:r>
      <w:r>
        <w:t xml:space="preserve"> </w:t>
      </w:r>
      <w:r>
        <w:t xml:space="preserve">(2016)</w:t>
      </w:r>
      <w:r>
        <w:t xml:space="preserve"> </w:t>
      </w:r>
      <w:r>
        <w:t xml:space="preserve">area‐source models cannot be attributed solely to variations in maximum magnitude (</w:t>
      </w:r>
      <m:oMath>
        <m:sSub>
          <m:e>
            <m:r>
              <m:t>M</m:t>
            </m:r>
          </m:e>
          <m:sub>
            <m:r>
              <m:rPr>
                <m:sty m:val="p"/>
              </m:rPr>
              <m:t>max</m:t>
            </m:r>
          </m:sub>
        </m:sSub>
      </m:oMath>
      <w:r>
        <w:t xml:space="preserve">). While higher</w:t>
      </w:r>
      <w:r>
        <w:t xml:space="preserve"> </w:t>
      </w:r>
      <m:oMath>
        <m:sSub>
          <m:e>
            <m:r>
              <m:t>M</m:t>
            </m:r>
          </m:e>
          <m:sub>
            <m:r>
              <m:rPr>
                <m:sty m:val="p"/>
              </m:rPr>
              <m:t>max</m:t>
            </m:r>
          </m:sub>
        </m:sSub>
      </m:oMath>
      <w:r>
        <w:t xml:space="preserve"> </w:t>
      </w:r>
      <w:r>
        <w:t xml:space="preserve">values generally lead to larger accelerations, seismic hazard outcomes are also strongly influenced by recurrence parameters (</w:t>
      </w:r>
      <m:oMath>
        <m:r>
          <m:t>a</m:t>
        </m:r>
      </m:oMath>
      <w:r>
        <w:t xml:space="preserve">,</w:t>
      </w:r>
      <w:r>
        <w:t xml:space="preserve"> </w:t>
      </w:r>
      <m:oMath>
        <m:r>
          <m:t>b</m:t>
        </m:r>
      </m:oMath>
      <w:r>
        <w:t xml:space="preserve">), source geometry and segmentation, rupture characteristics, and especially by the selection and weighting of Ground Motion Prediction Equations (GMPEs)</w:t>
      </w:r>
      <w:r>
        <w:t xml:space="preserve"> </w:t>
      </w:r>
      <w:r>
        <w:t xml:space="preserve">(McGuire 2004; Bommer et al. 2015)</w:t>
      </w:r>
      <w:r>
        <w:t xml:space="preserve">. In subduction‐dominated regions such as Papua New Guinea, these modelling choices can equal or exceed the influence of</w:t>
      </w:r>
      <w:r>
        <w:t xml:space="preserve"> </w:t>
      </w:r>
      <m:oMath>
        <m:sSub>
          <m:e>
            <m:r>
              <m:t>M</m:t>
            </m:r>
          </m:e>
          <m:sub>
            <m:r>
              <m:rPr>
                <m:sty m:val="p"/>
              </m:rPr>
              <m:t>max</m:t>
            </m:r>
          </m:sub>
        </m:sSub>
      </m:oMath>
      <w:r>
        <w:t xml:space="preserve"> </w:t>
      </w:r>
      <w:r>
        <w:t xml:space="preserve">on hazard estimates</w:t>
      </w:r>
      <w:r>
        <w:t xml:space="preserve"> </w:t>
      </w:r>
      <w:r>
        <w:t xml:space="preserve">(Norman A. Abrahamson, Gregor, and Addo 2020)</w:t>
      </w:r>
      <w:r>
        <w:t xml:space="preserve">.</w:t>
      </w:r>
    </w:p>
    <w:p>
      <w:pPr>
        <w:pStyle w:val="BodyText"/>
      </w:pPr>
      <w:r>
        <w:t xml:space="preserve">It is also relevant that ATC/W’s comparison used the 2016 Ghasemi et al. model</w:t>
      </w:r>
      <w:r>
        <w:t xml:space="preserve"> </w:t>
      </w:r>
      <w:r>
        <w:t xml:space="preserve">(H. Ghasemi et al. 2016)</w:t>
      </w:r>
      <w:r>
        <w:t xml:space="preserve">, whereas the current GEM PNG hazard model is based on an updated 2020 version by the same lead author</w:t>
      </w:r>
      <w:r>
        <w:t xml:space="preserve"> </w:t>
      </w:r>
      <w:r>
        <w:t xml:space="preserve">(Hadi Ghasemi et al. 2020)</w:t>
      </w:r>
      <w:r>
        <w:t xml:space="preserve">, in which many</w:t>
      </w:r>
      <w:r>
        <w:t xml:space="preserve"> </w:t>
      </w:r>
      <m:oMath>
        <m:sSub>
          <m:e>
            <m:r>
              <m:t>M</m:t>
            </m:r>
          </m:e>
          <m:sub>
            <m:r>
              <m:rPr>
                <m:sty m:val="p"/>
              </m:rPr>
              <m:t>max</m:t>
            </m:r>
          </m:sub>
        </m:sSub>
      </m:oMath>
      <w:r>
        <w:t xml:space="preserve"> </w:t>
      </w:r>
      <w:r>
        <w:t xml:space="preserve">values and other key source parameters have been revised. Consequently, conclusions drawn from the 2016–DIM–ASIA comparison may not reflect differences between DIM–ASIA and the most up‐to‐date Ghasemi model currently underpinning GEM PNG.</w:t>
      </w:r>
    </w:p>
    <w:bookmarkEnd w:id="24"/>
    <w:bookmarkStart w:id="25" w:name="maximum-credible-earthquake"/>
    <w:p>
      <w:pPr>
        <w:pStyle w:val="Heading2"/>
      </w:pPr>
      <w:r>
        <w:t xml:space="preserve">Maximum credible Earthquake</w:t>
      </w:r>
    </w:p>
    <w:p>
      <w:pPr>
        <w:pStyle w:val="FirstParagraph"/>
      </w:pPr>
      <w:r>
        <w:t xml:space="preserve">The ATC/W dynamic deformation analysis considered two seismic loading levels: the Operating Basis Earthquake (OBE) and the Safety Evaluation Earthquake (SEE/SSE). The OBE was defined from the site‐specific PSHA as the 2{,}000‐year return period event, with a bedrock PGA of approximately</w:t>
      </w:r>
      <w:r>
        <w:t xml:space="preserve"> </w:t>
      </w:r>
      <m:oMath>
        <m:r>
          <m:t>0.53</m:t>
        </m:r>
        <m:r>
          <m:rPr>
            <m:sty m:val="p"/>
          </m:rPr>
          <m:t>,</m:t>
        </m:r>
        <m:r>
          <m:t>g</m:t>
        </m:r>
      </m:oMath>
      <w:r>
        <w:t xml:space="preserve"> </w:t>
      </w:r>
      <w:r>
        <w:t xml:space="preserve">at</w:t>
      </w:r>
      <w:r>
        <w:t xml:space="preserve"> </w:t>
      </w:r>
      <m:oMath>
        <m:r>
          <m:t>T</m:t>
        </m:r>
        <m:r>
          <m:rPr>
            <m:sty m:val="p"/>
          </m:rPr>
          <m:t>=</m:t>
        </m:r>
        <m:r>
          <m:t>0.01</m:t>
        </m:r>
        <m:r>
          <m:rPr>
            <m:sty m:val="p"/>
          </m:rPr>
          <m:t>,</m:t>
        </m:r>
        <m:r>
          <m:rPr>
            <m:nor/>
            <m:sty m:val="p"/>
          </m:rPr>
          <m:t>s</m:t>
        </m:r>
      </m:oMath>
      <w:r>
        <w:t xml:space="preserve">, spectrally matched to the corresponding uniform hazard spectrum. The SEE/SSE was defined as the 10,000‐year return period event, with a PGA of approximately</w:t>
      </w:r>
      <w:r>
        <w:t xml:space="preserve"> </w:t>
      </w:r>
      <m:oMath>
        <m:r>
          <m:t>0.89</m:t>
        </m:r>
        <m:r>
          <m:rPr>
            <m:sty m:val="p"/>
          </m:rPr>
          <m:t>,</m:t>
        </m:r>
        <m:r>
          <m:t>g</m:t>
        </m:r>
      </m:oMath>
      <w:r>
        <w:t xml:space="preserve"> </w:t>
      </w:r>
      <w:r>
        <w:t xml:space="preserve">at</w:t>
      </w:r>
      <w:r>
        <w:t xml:space="preserve"> </w:t>
      </w:r>
      <m:oMath>
        <m:r>
          <m:t>T</m:t>
        </m:r>
        <m:r>
          <m:rPr>
            <m:sty m:val="p"/>
          </m:rPr>
          <m:t>=</m:t>
        </m:r>
        <m:r>
          <m:t>0.01</m:t>
        </m:r>
        <m:r>
          <m:rPr>
            <m:sty m:val="p"/>
          </m:rPr>
          <m:t>,</m:t>
        </m:r>
        <m:r>
          <m:rPr>
            <m:nor/>
            <m:sty m:val="p"/>
          </m:rPr>
          <m:t>s</m:t>
        </m:r>
      </m:oMath>
      <w:r>
        <w:t xml:space="preserve">, also spectrally matched to its target spectrum. These two levels were used to evaluate the potential dynamic deformation of the TSF under both operational and extreme seismic conditions.</w:t>
      </w:r>
    </w:p>
    <w:p>
      <w:pPr>
        <w:pStyle w:val="BodyText"/>
      </w:pPr>
      <w:r>
        <w:t xml:space="preserve">The deterministic maximum credible earthquake (MCE) scenario adopted by ATC/W yields a mean peak ground acceleration (PGA) of</w:t>
      </w:r>
      <w:r>
        <w:t xml:space="preserve"> </w:t>
      </w:r>
      <m:oMath>
        <m:r>
          <m:t>0.896</m:t>
        </m:r>
        <m:r>
          <m:rPr>
            <m:sty m:val="p"/>
          </m:rPr>
          <m:t>,</m:t>
        </m:r>
        <m:r>
          <m:t>g</m:t>
        </m:r>
      </m:oMath>
      <w:r>
        <w:t xml:space="preserve"> </w:t>
      </w:r>
      <w:r>
        <w:t xml:space="preserve">at</w:t>
      </w:r>
      <w:r>
        <w:t xml:space="preserve"> </w:t>
      </w:r>
      <m:oMath>
        <m:r>
          <m:t>T</m:t>
        </m:r>
        <m:r>
          <m:rPr>
            <m:sty m:val="p"/>
          </m:rPr>
          <m:t>=</m:t>
        </m:r>
        <m:r>
          <m:t>0.01</m:t>
        </m:r>
        <m:r>
          <m:rPr>
            <m:sty m:val="p"/>
          </m:rPr>
          <m:t>,</m:t>
        </m:r>
        <m:r>
          <m:rPr>
            <m:nor/>
            <m:sty m:val="p"/>
          </m:rPr>
          <m:t>s</m:t>
        </m:r>
      </m:oMath>
      <w:r>
        <w:t xml:space="preserve">, effectively</w:t>
      </w:r>
      <w:r>
        <w:t xml:space="preserve"> </w:t>
      </w:r>
      <m:oMath>
        <m:r>
          <m:t>0.90</m:t>
        </m:r>
        <m:r>
          <m:rPr>
            <m:sty m:val="p"/>
          </m:rPr>
          <m:t>,</m:t>
        </m:r>
        <m:r>
          <m:t>g</m:t>
        </m:r>
      </m:oMath>
      <w:r>
        <w:t xml:space="preserve"> </w:t>
      </w:r>
      <w:r>
        <w:t xml:space="preserve">when rounded. This value is essentially the same as the PGA from the probabilistic seismic hazard analysis (PSHA) for a 10,000‐year return period,</w:t>
      </w:r>
      <w:r>
        <w:t xml:space="preserve"> </w:t>
      </w:r>
      <m:oMath>
        <m:r>
          <m:t>0.89</m:t>
        </m:r>
        <m:r>
          <m:rPr>
            <m:sty m:val="p"/>
          </m:rPr>
          <m:t>,</m:t>
        </m:r>
        <m:r>
          <m:t>g</m:t>
        </m:r>
      </m:oMath>
      <w:r>
        <w:t xml:space="preserve">.</w:t>
      </w:r>
    </w:p>
    <w:p>
      <w:pPr>
        <w:pStyle w:val="BodyText"/>
      </w:pPr>
      <w:r>
        <w:t xml:space="preserve">Given that the ATC/W deterministic MCE at</w:t>
      </w:r>
      <w:r>
        <w:t xml:space="preserve"> </w:t>
      </w:r>
      <m:oMath>
        <m:r>
          <m:t>T</m:t>
        </m:r>
        <m:r>
          <m:rPr>
            <m:sty m:val="p"/>
          </m:rPr>
          <m:t>=</m:t>
        </m:r>
        <m:r>
          <m:t>0.01</m:t>
        </m:r>
        <m:r>
          <m:rPr>
            <m:sty m:val="p"/>
          </m:rPr>
          <m:t>,</m:t>
        </m:r>
        <m:r>
          <m:rPr>
            <m:nor/>
            <m:sty m:val="p"/>
          </m:rPr>
          <m:t>s</m:t>
        </m:r>
      </m:oMath>
      <w:r>
        <w:t xml:space="preserve"> </w:t>
      </w:r>
      <w:r>
        <w:t xml:space="preserve">is</w:t>
      </w:r>
      <w:r>
        <w:t xml:space="preserve"> </w:t>
      </w:r>
      <m:oMath>
        <m:r>
          <m:t>0.896</m:t>
        </m:r>
        <m:r>
          <m:rPr>
            <m:sty m:val="p"/>
          </m:rPr>
          <m:t>,</m:t>
        </m:r>
        <m:r>
          <m:t>g</m:t>
        </m:r>
      </m:oMath>
      <w:r>
        <w:t xml:space="preserve"> </w:t>
      </w:r>
      <w:r>
        <w:t xml:space="preserve">(effectively</w:t>
      </w:r>
      <w:r>
        <w:t xml:space="preserve"> </w:t>
      </w:r>
      <m:oMath>
        <m:r>
          <m:t>0.90</m:t>
        </m:r>
        <m:r>
          <m:rPr>
            <m:sty m:val="p"/>
          </m:rPr>
          <m:t>,</m:t>
        </m:r>
        <m:r>
          <m:t>g</m:t>
        </m:r>
      </m:oMath>
      <w:r>
        <w:t xml:space="preserve">) and essentially matches the project’s 10{,}000-year PSHA PGA of</w:t>
      </w:r>
      <w:r>
        <w:t xml:space="preserve"> </w:t>
      </w:r>
      <m:oMath>
        <m:r>
          <m:t>0.89</m:t>
        </m:r>
        <m:r>
          <m:rPr>
            <m:sty m:val="p"/>
          </m:rPr>
          <m:t>,</m:t>
        </m:r>
        <m:r>
          <m:t>g</m:t>
        </m:r>
      </m:oMath>
      <w:r>
        <w:t xml:space="preserve"> </w:t>
      </w:r>
      <w:r>
        <w:t xml:space="preserve">(Dimas 2020)</w:t>
      </w:r>
      <w:r>
        <w:t xml:space="preserve">, a modest downward bias in the MCE is plausible but is not expected to approach the larger discrepancy observed at the 1/475 PSHA level between ATC/W and GEM-based benchmarks</w:t>
      </w:r>
      <w:r>
        <w:t xml:space="preserve"> </w:t>
      </w:r>
      <w:r>
        <w:t xml:space="preserve">(Dimas 2020; H. Ghasemi et al. 2023)</w:t>
      </w:r>
      <w:r>
        <w:t xml:space="preserve">. The reason is structural: the deterministic MCE is defined by a single controlling scenario that maximizes ground motion at the period of interest and is therefore not affected by 50/50 averaging across alternative seismotectonic models; any residual bias would primarily stem from the chosen GMPE suite and weights, which influence both DSHA and PSHA but act through ground-motion scaling rather than source omission effects</w:t>
      </w:r>
      <w:r>
        <w:t xml:space="preserve"> </w:t>
      </w:r>
      <w:r>
        <w:t xml:space="preserve">(McGuire 2004; Bommer et al. 2015)</w:t>
      </w:r>
      <w:r>
        <w:t xml:space="preserve">. Consequently, if the GMPE set underpredicts motions for the controlling large-magnitude, short-to-moderate distance scenario, the MCE could be somewhat underestimated, but the effect would be expected to be materially smaller than the gap identified for the 1/475 PSHA comparison.</w:t>
      </w:r>
    </w:p>
    <w:bookmarkEnd w:id="25"/>
    <w:bookmarkStart w:id="26" w:name="ground-motion-prediction-equations-gmpe"/>
    <w:p>
      <w:pPr>
        <w:pStyle w:val="Heading2"/>
      </w:pPr>
      <w:r>
        <w:t xml:space="preserve">Ground Motion Prediction Equations (GMPE)</w:t>
      </w:r>
    </w:p>
    <w:p>
      <w:pPr>
        <w:pStyle w:val="BlockText"/>
      </w:pPr>
      <w:r>
        <w:rPr>
          <w:b/>
          <w:bCs/>
        </w:rPr>
        <w:t xml:space="preserve">ATC/W response:</w:t>
      </w:r>
      <w:r>
        <w:t xml:space="preserve"> </w:t>
      </w:r>
      <w:r>
        <w:rPr>
          <w:i/>
          <w:iCs/>
        </w:rPr>
        <w:t xml:space="preserve">We consider shallow and deep crustal earthquakes, as well as subduction earthquakes. We have used the most recent NGA-West Ground Motion Prediction Models (GMPE) with different weights, including Abrahamson et al. (2014), Boore et al. (2014), Cambell &amp; Bozorgnia (2014), BC-Hydro (2012), etc.</w:t>
      </w:r>
    </w:p>
    <w:p>
      <w:pPr>
        <w:pStyle w:val="FirstParagraph"/>
      </w:pPr>
      <w:r>
        <w:t xml:space="preserve">ATC/W states that the seismic hazard analysis incorporates GMPEs for both shallow crustal (NGA-West2) and subduction-zone earthquakes (BC Hydro). Given the proximity of significant seismic sources—including the Ramu–Markham Fault System (RMFS) capable of large crustal earthquakes, and the New Britain subduction megathrust capable of producing Mw</w:t>
      </w:r>
      <w:r>
        <w:t xml:space="preserve"> </w:t>
      </w:r>
      <m:oMath>
        <m:r>
          <m:rPr>
            <m:sty m:val="p"/>
          </m:rPr>
          <m:t>≥</m:t>
        </m:r>
      </m:oMath>
      <w:r>
        <w:t xml:space="preserve"> </w:t>
      </w:r>
      <w:r>
        <w:t xml:space="preserve">8.0 events—it is critical to confirm that the weighting of these GMPE sets adequately represents regional seismic hazard conditions.</w:t>
      </w:r>
    </w:p>
    <w:p>
      <w:pPr>
        <w:pStyle w:val="BodyText"/>
      </w:pPr>
      <w:r>
        <w:t xml:space="preserve">While NGA-West2 models have been extensively validated globally for active shallow crustal regions</w:t>
      </w:r>
      <w:r>
        <w:t xml:space="preserve"> </w:t>
      </w:r>
      <w:r>
        <w:t xml:space="preserve">(N. Abrahamson et al. 2014; Boore et al. 2014; Campbell and Bozorgnia 2014)</w:t>
      </w:r>
      <w:r>
        <w:t xml:space="preserve">, and the BC Hydro subduction GMPE is based on global subduction data</w:t>
      </w:r>
      <w:r>
        <w:t xml:space="preserve"> </w:t>
      </w:r>
      <w:r>
        <w:t xml:space="preserve">(N. A. Abrahamson, Gregor, and Addo 2016; Norman A. Abrahamson, Gregor, and Addo 2018; Parker et al. 2020)</w:t>
      </w:r>
      <w:r>
        <w:t xml:space="preserve">, explicit verification of their applicability to Papua New Guinea conditions through residual analyses using regional seismic records is recommended.</w:t>
      </w:r>
    </w:p>
    <w:p>
      <w:pPr>
        <w:pStyle w:val="BodyText"/>
      </w:pPr>
      <w:r>
        <w:t xml:space="preserve">However, the author is unaware of the current availability of sufficient strong-motion records from bedrock conditions near these seismic sources, which may pose challenges for conducting such residual analyses. A practical first step could involve reviewing available studies, including those by Ghasemi et al.</w:t>
      </w:r>
      <w:r>
        <w:t xml:space="preserve"> </w:t>
      </w:r>
      <w:r>
        <w:t xml:space="preserve">(2020)</w:t>
      </w:r>
      <w:r>
        <w:t xml:space="preserve">, to determine whether appropriate validation or calibration has already been performed or whether additional investigations are necessary.</w:t>
      </w:r>
    </w:p>
    <w:bookmarkEnd w:id="26"/>
    <w:bookmarkStart w:id="27" w:name="source-models"/>
    <w:p>
      <w:pPr>
        <w:pStyle w:val="Heading2"/>
      </w:pPr>
      <w:r>
        <w:t xml:space="preserve">Source Models</w:t>
      </w:r>
    </w:p>
    <w:p>
      <w:pPr>
        <w:pStyle w:val="FirstParagraph"/>
      </w:pPr>
      <w:r>
        <w:t xml:space="preserve">Two complete alternative seismogenic source models have been applied in Papua New Guinea PSHA: (i) the Geoscience Australia PNG models developed by Ghasemi et al.</w:t>
      </w:r>
      <w:r>
        <w:t xml:space="preserve"> </w:t>
      </w:r>
      <w:r>
        <w:t xml:space="preserve">(H. Ghasemi et al. 2016, 2023; Hadi Ghasemi et al. 2020)</w:t>
      </w:r>
      <w:r>
        <w:t xml:space="preserve">, which underpin the GEM PNG hazard model and are generally regarded as state of practice, and (ii) the DIM–ASIA (ASIA‐1) model by Dimas and Gibson</w:t>
      </w:r>
      <w:r>
        <w:t xml:space="preserve"> </w:t>
      </w:r>
      <w:r>
        <w:t xml:space="preserve">(Dimas and Gibson 2016)</w:t>
      </w:r>
      <w:r>
        <w:t xml:space="preserve">, a 3D representation of crustal, subduction‐interface, and intraslab sources. In the 2020 ATC/W study, these two full models were assigned equal weight (50% each) in the logic tree.</w:t>
      </w:r>
    </w:p>
    <w:p>
      <w:pPr>
        <w:pStyle w:val="BodyText"/>
      </w:pPr>
      <w:r>
        <w:t xml:space="preserve">Epistemic uncertainty is typically addressed by branching on key parameters—</w:t>
      </w:r>
      <m:oMath>
        <m:r>
          <m:t>a</m:t>
        </m:r>
      </m:oMath>
      <w:r>
        <w:t xml:space="preserve">– and</w:t>
      </w:r>
      <w:r>
        <w:t xml:space="preserve"> </w:t>
      </w:r>
      <m:oMath>
        <m:r>
          <m:t>b</m:t>
        </m:r>
      </m:oMath>
      <w:r>
        <w:t xml:space="preserve">–values, slip rates, segmentation, geometry, and</w:t>
      </w:r>
      <w:r>
        <w:t xml:space="preserve"> </w:t>
      </w:r>
      <m:oMath>
        <m:sSub>
          <m:e>
            <m:r>
              <m:t>M</m:t>
            </m:r>
          </m:e>
          <m:sub>
            <m:r>
              <m:t>m</m:t>
            </m:r>
            <m:r>
              <m:t>a</m:t>
            </m:r>
            <m:r>
              <m:t>x</m:t>
            </m:r>
          </m:sub>
        </m:sSub>
      </m:oMath>
      <w:r>
        <w:t xml:space="preserve">—within a single comprehensive model</w:t>
      </w:r>
      <w:r>
        <w:t xml:space="preserve"> </w:t>
      </w:r>
      <w:r>
        <w:t xml:space="preserve">(McGuire 2004; U.S. Nuclear Regulatory Commission 2012; Bommer 2012)</w:t>
      </w:r>
      <w:r>
        <w:t xml:space="preserve">. Mean hazard is obtained by weighting exceedance rates or probabilities, not by averaging intensity measures such as PGA or</w:t>
      </w:r>
      <w:r>
        <w:t xml:space="preserve"> </w:t>
      </w:r>
      <m:oMath>
        <m:sSub>
          <m:e>
            <m:r>
              <m:t>S</m:t>
            </m:r>
          </m:e>
          <m:sub>
            <m:r>
              <m:t>a</m:t>
            </m:r>
          </m:sub>
        </m:sSub>
        <m:d>
          <m:dPr>
            <m:begChr m:val="("/>
            <m:sepChr m:val=""/>
            <m:endChr m:val=")"/>
            <m:grow/>
          </m:dPr>
          <m:e>
            <m:r>
              <m:t>T</m:t>
            </m:r>
          </m:e>
        </m:d>
      </m:oMath>
      <w:r>
        <w:t xml:space="preserve"> </w:t>
      </w:r>
      <w:r>
        <w:t xml:space="preserve">(</w:t>
      </w:r>
      <w:r>
        <w:rPr>
          <w:b/>
          <w:bCs/>
        </w:rPr>
        <w:t xml:space="preserve">OQDocs2024?</w:t>
      </w:r>
      <w:r>
        <w:t xml:space="preserve">)</w:t>
      </w:r>
      <w:r>
        <w:t xml:space="preserve">. When a branch omits a physically credible source, its contribution to the mean is proportionally reduced, which can bias hazard estimates.</w:t>
      </w:r>
    </w:p>
    <w:p>
      <w:pPr>
        <w:pStyle w:val="BodyText"/>
      </w:pPr>
      <w:r>
        <w:t xml:space="preserve">SSHAC guidance cautions that logic‐tree branches should represent complete alternative scientific interpretations; undisputed sources should not be alternately omitted in a competing full model but instead included in a comprehensive model with parameter‐level branching</w:t>
      </w:r>
      <w:r>
        <w:t xml:space="preserve"> </w:t>
      </w:r>
      <w:r>
        <w:t xml:space="preserve">(U.S. Nuclear Regulatory Commission 2012; Bommer 2012)</w:t>
      </w:r>
      <w:r>
        <w:t xml:space="preserve">. Assigning equal weight to two complete models where one omits a credible contributor effectively halves its influence on the mean hazard. A defensible approach for this site is to adopt one comprehensive PNG source model that includes all credible contributors and then represent lack of consensus on key parameters (e.g.,</w:t>
      </w:r>
      <w:r>
        <w:t xml:space="preserve"> </w:t>
      </w:r>
      <m:oMath>
        <m:sSub>
          <m:e>
            <m:r>
              <m:t>M</m:t>
            </m:r>
          </m:e>
          <m:sub>
            <m:r>
              <m:t>m</m:t>
            </m:r>
            <m:r>
              <m:t>a</m:t>
            </m:r>
            <m:r>
              <m:t>x</m:t>
            </m:r>
          </m:sub>
        </m:sSub>
      </m:oMath>
      <w:r>
        <w:t xml:space="preserve">,</w:t>
      </w:r>
      <w:r>
        <w:t xml:space="preserve"> </w:t>
      </w:r>
      <m:oMath>
        <m:r>
          <m:t>b</m:t>
        </m:r>
      </m:oMath>
      <w:r>
        <w:t xml:space="preserve">‐values/recurrence) through logic‐tree branches. This approach aligns with recent PNG regional practice</w:t>
      </w:r>
      <w:r>
        <w:t xml:space="preserve"> </w:t>
      </w:r>
      <w:r>
        <w:t xml:space="preserve">(Hadi Ghasemi et al. 2020; Global Earthquake Model Foundation 2023)</w:t>
      </w:r>
      <w:r>
        <w:t xml:space="preserve">.</w:t>
      </w:r>
    </w:p>
    <w:bookmarkEnd w:id="27"/>
    <w:bookmarkStart w:id="28" w:name="vertical-ground-motions"/>
    <w:p>
      <w:pPr>
        <w:pStyle w:val="Heading2"/>
      </w:pPr>
      <w:r>
        <w:t xml:space="preserve">Vertical Ground Motions</w:t>
      </w:r>
    </w:p>
    <w:p>
      <w:pPr>
        <w:pStyle w:val="BlockText"/>
      </w:pPr>
      <w:r>
        <w:rPr>
          <w:b/>
          <w:bCs/>
        </w:rPr>
        <w:t xml:space="preserve">ATC/W response:</w:t>
      </w:r>
      <w:r>
        <w:t xml:space="preserve"> </w:t>
      </w:r>
      <w:r>
        <w:rPr>
          <w:i/>
          <w:iCs/>
        </w:rPr>
        <w:t xml:space="preserve">In dynamic deformation modelling for embankment dams, horizontal ground motion is focused on efficiently addressing the critical risk of failure due to earthquakes. While it is advisable to incorporate vertical ground motion to analyse concrete gravity dams, the impact of vertical motion on the earth and rockfill dams generally is not considered to be significant.</w:t>
      </w:r>
    </w:p>
    <w:p>
      <w:pPr>
        <w:pStyle w:val="FirstParagraph"/>
      </w:pPr>
      <w:r>
        <w:t xml:space="preserve">Routine practice typically focuses dynamic deformation analyses on horizontal ground motions for earth and rockfill dams subjected to moderate-to-strong earthquakes</w:t>
      </w:r>
      <w:r>
        <w:t xml:space="preserve"> </w:t>
      </w:r>
      <w:r>
        <w:t xml:space="preserve">(Dams (USSD) 2022)</w:t>
      </w:r>
      <w:r>
        <w:t xml:space="preserve">. However, FEMA</w:t>
      </w:r>
      <w:r>
        <w:t xml:space="preserve"> </w:t>
      </w:r>
      <w:r>
        <w:t xml:space="preserve">(2015)</w:t>
      </w:r>
      <w:r>
        <w:t xml:space="preserve"> </w:t>
      </w:r>
      <w:r>
        <w:t xml:space="preserve">guidelines indicate that vertical accelerations near active faults can be significant and may even exceed horizontal accelerations. Although neither ANCOLD nor USSD universally requires including vertical motions, both recommend explicitly evaluating vertical ground motions near large faults, either through sensitivity checks or as separate load cases</w:t>
      </w:r>
      <w:r>
        <w:t xml:space="preserve"> </w:t>
      </w:r>
      <w:r>
        <w:t xml:space="preserve">(Dams (USSD) 2022; Australian National Committee on Large Dams 2019)</w:t>
      </w:r>
      <w:r>
        <w:t xml:space="preserve">.</w:t>
      </w:r>
    </w:p>
    <w:p>
      <w:pPr>
        <w:pStyle w:val="BodyText"/>
      </w:pPr>
      <w:r>
        <w:t xml:space="preserve">Considering the proximity of the RMFS, capable of producing earthquakes with</w:t>
      </w:r>
      <w:r>
        <w:t xml:space="preserve"> </w:t>
      </w:r>
      <m:oMath>
        <m:sSub>
          <m:e>
            <m:r>
              <m:t>M</m:t>
            </m:r>
          </m:e>
          <m:sub>
            <m:r>
              <m:t>w</m:t>
            </m:r>
          </m:sub>
        </m:sSub>
        <m:r>
          <m:rPr>
            <m:sty m:val="p"/>
          </m:rPr>
          <m:t>≥</m:t>
        </m:r>
        <m:r>
          <m:t>7.5</m:t>
        </m:r>
      </m:oMath>
      <w:r>
        <w:t xml:space="preserve">, explicitly incorporating vertical ground motions into dynamic deformation analyses is appropriate for load cases associated specifically with RMFS seismic events. For these load cases, ensuring realistic vertical spectra and vertical-to-horizontal (V/H) ratios from the ATC/W seismic hazard analysis requires careful validation of the selected GMPEs and their weighting for vertical predictions. On the contrary, vertical ground motions unrelated with the RMFS scenario should not be included.</w:t>
      </w:r>
    </w:p>
    <w:bookmarkEnd w:id="28"/>
    <w:bookmarkStart w:id="29" w:name="vertical-ground-motions-1"/>
    <w:p>
      <w:pPr>
        <w:pStyle w:val="Heading2"/>
      </w:pPr>
      <w:r>
        <w:t xml:space="preserve">Vertical Ground Motions</w:t>
      </w:r>
    </w:p>
    <w:p>
      <w:pPr>
        <w:pStyle w:val="BlockText"/>
      </w:pPr>
      <w:r>
        <w:rPr>
          <w:b/>
          <w:bCs/>
        </w:rPr>
        <w:t xml:space="preserve">ATC/W response:</w:t>
      </w:r>
      <w:r>
        <w:t xml:space="preserve"> </w:t>
      </w:r>
      <w:r>
        <w:rPr>
          <w:i/>
          <w:iCs/>
        </w:rPr>
        <w:t xml:space="preserve">An example from a recent case history of earth and rockfill dams subjected to high horizontal and vertical acceleration is the 156-m high Zipingpu dam in China. It was subjected to horizontal and vertical accelerations of 2.0g. No significant damage was observed (Ishihara, 2012).</w:t>
      </w:r>
    </w:p>
    <w:p>
      <w:pPr>
        <w:pStyle w:val="FirstParagraph"/>
      </w:pPr>
      <w:r>
        <w:t xml:space="preserve">The Zipingpu Dam example cited by ATC/W represents only a single case history and is insufficient for drawing generalized conclusions regarding vertical shaking effects. The deformation response of dams under large events depends strongly on ground motion properties such as shaking duration and frequency content. Reliable assessments require analysis of multiple earthquake records relevant to the regional or tectonic context, including both vertical and horizontal accelerations. Consequently, the Zipingpu example alone does not substantiate ATC/W’s broader inference for dam performance predictions at other locations, such as the RMFS scenario.</w:t>
      </w:r>
    </w:p>
    <w:bookmarkEnd w:id="29"/>
    <w:bookmarkStart w:id="30" w:name="summary"/>
    <w:p>
      <w:pPr>
        <w:pStyle w:val="Heading2"/>
      </w:pPr>
      <w:r>
        <w:t xml:space="preserve">Summary</w:t>
      </w:r>
    </w:p>
    <w:p>
      <w:pPr>
        <w:numPr>
          <w:ilvl w:val="0"/>
          <w:numId w:val="1001"/>
        </w:numPr>
      </w:pPr>
      <w:r>
        <w:t xml:space="preserve">The PGA values adopted by ATC/W for key design events are significantly lower compared to independent hazard analyses based on the GEM (2023) model. Specifically, ATC/W reports a PGA of 0.31 g for the 1/475-year event and 0.53 g for the 1/2000-year event, which represent reductions of approximately 50.8% and 45.9%, respectively, relative to GEM-based reference results (0.63 g and 0.98 g). These substantial differences suggest potential underestimation of seismic hazard at the TSF site and warrant further review [</w:t>
      </w:r>
      <w:r>
        <w:t xml:space="preserve">Dimas (2020)</w:t>
      </w:r>
      <w:r>
        <w:t xml:space="preserve">;</w:t>
      </w:r>
      <w:r>
        <w:t xml:space="preserve"> </w:t>
      </w:r>
      <w:r>
        <w:t xml:space="preserve">H. Ghasemi et al. (2023)</w:t>
      </w:r>
      <w:r>
        <w:t xml:space="preserve">].</w:t>
      </w:r>
    </w:p>
    <w:p>
      <w:pPr>
        <w:numPr>
          <w:ilvl w:val="0"/>
          <w:numId w:val="1001"/>
        </w:numPr>
      </w:pPr>
      <w:r>
        <w:t xml:space="preserve">The observed discrepancies arise predominantly from methodological differences, including the selection and weighting of Ground Motion Prediction Equations (GMPEs), the equal weighting (50/50) of two complete alternative seismogenic source models—Ghasemi et al. [-@Ghasemi2020] and DIM–ASIA [-@DimasGibson2016]—and the treatment of epistemic uncertainty predominantly at the model rather than at the parameter level. This approach deviates from established SSHAC guidelines and current regional practice, potentially suppressing credible seismic contributions included only in one model [</w:t>
      </w:r>
      <w:r>
        <w:t xml:space="preserve">U.S. Nuclear Regulatory Commission (2012)</w:t>
      </w:r>
      <w:r>
        <w:t xml:space="preserve">;</w:t>
      </w:r>
      <w:r>
        <w:t xml:space="preserve"> </w:t>
      </w:r>
      <w:r>
        <w:t xml:space="preserve">Bommer (2012)</w:t>
      </w:r>
      <w:r>
        <w:t xml:space="preserve">].</w:t>
      </w:r>
    </w:p>
    <w:p>
      <w:pPr>
        <w:numPr>
          <w:ilvl w:val="0"/>
          <w:numId w:val="1001"/>
        </w:numPr>
      </w:pPr>
      <w:r>
        <w:t xml:space="preserve">ATC/W’s deterministic Maximum Credible Earthquake (MCE) PGA (approximately 0.90 g) closely aligns with the 10,000-year return period PGA from their probabilistic analysis (0.89 g). However, any residual bias in this deterministic value is likely attributable to GMPE selection and weighting rather than model averaging effects, implying that potential underestimation at shorter return periods (such as 1/475) is structurally more significant [</w:t>
      </w:r>
      <w:r>
        <w:t xml:space="preserve">Dimas (2020)</w:t>
      </w:r>
      <w:r>
        <w:t xml:space="preserve">;</w:t>
      </w:r>
      <w:r>
        <w:t xml:space="preserve"> </w:t>
      </w:r>
      <w:r>
        <w:t xml:space="preserve">McGuire (2004)</w:t>
      </w:r>
      <w:r>
        <w:t xml:space="preserve">;</w:t>
      </w:r>
      <w:r>
        <w:t xml:space="preserve"> </w:t>
      </w:r>
      <w:r>
        <w:t xml:space="preserve">Bommer et al. (2015)</w:t>
      </w:r>
      <w:r>
        <w:t xml:space="preserve">].</w:t>
      </w:r>
    </w:p>
    <w:p>
      <w:pPr>
        <w:numPr>
          <w:ilvl w:val="0"/>
          <w:numId w:val="1001"/>
        </w:numPr>
      </w:pPr>
      <w:r>
        <w:t xml:space="preserve">Given the site’s proximity to active fault systems such as the RMFS, explicit consideration of vertical ground motions is justified for seismic loading cases associated specifically with this fault. Major international guidelines (e.g., USSD, FEMA, ANCOLD) highlight that vertical accelerations near active faults can significantly influence dynamic performance, recommending verification through appropriate vertical-to-horizontal (V/H) ratios for near-fault scenarios [</w:t>
      </w:r>
      <w:r>
        <w:t xml:space="preserve">Dams (USSD) (2022)</w:t>
      </w:r>
      <w:r>
        <w:t xml:space="preserve">;</w:t>
      </w:r>
      <w:r>
        <w:t xml:space="preserve"> </w:t>
      </w:r>
      <w:r>
        <w:t xml:space="preserve">Federal Emergency Management Agency (2015)</w:t>
      </w:r>
      <w:r>
        <w:t xml:space="preserve">;</w:t>
      </w:r>
      <w:r>
        <w:t xml:space="preserve"> </w:t>
      </w:r>
      <w:r>
        <w:t xml:space="preserve">Australian National Committee on Large Dams (2019)</w:t>
      </w:r>
      <w:r>
        <w:t xml:space="preserve">].</w:t>
      </w:r>
    </w:p>
    <w:p>
      <w:pPr>
        <w:numPr>
          <w:ilvl w:val="0"/>
          <w:numId w:val="1001"/>
        </w:numPr>
      </w:pPr>
      <w:r>
        <w:t xml:space="preserve">Importantly, ATC/W’s internal logic-tree parameters, including source-zone definitions, recurrence parameters, GMPE selections, and assigned weights, are not publicly disclosed, limiting transparency. In contrast, the GEM (2023) hazard model is both publicly available and peer-reviewed, incorporating updates to key parameters such as $M_{max}$ compared to earlier versions (e.g., Ghasemi et al., 2016). Greater alignment with transparent, regionally validated models would substantially reduce uncertainty and enhance the reliability of seismic hazard inputs for engineering design [</w:t>
      </w:r>
      <w:r>
        <w:t xml:space="preserve">Dimas (2020)</w:t>
      </w:r>
      <w:r>
        <w:t xml:space="preserve">;</w:t>
      </w:r>
      <w:r>
        <w:t xml:space="preserve"> </w:t>
      </w:r>
      <w:r>
        <w:t xml:space="preserve">H. Ghasemi et al. (2023)</w:t>
      </w:r>
      <w:r>
        <w:t xml:space="preserve">;</w:t>
      </w:r>
      <w:r>
        <w:t xml:space="preserve"> </w:t>
      </w:r>
      <w:r>
        <w:t xml:space="preserve">Hadi Ghasemi et al. (2020)</w:t>
      </w:r>
      <w:r>
        <w:t xml:space="preserve">].</w:t>
      </w:r>
    </w:p>
    <w:p>
      <w:pPr>
        <w:numPr>
          <w:ilvl w:val="0"/>
          <w:numId w:val="1001"/>
        </w:numPr>
      </w:pPr>
      <w:r>
        <w:t xml:space="preserve">Additionally, the impact of nonlinear site-response effects on softer soils (Site Class D) significantly reduces PGA values relative to rock conditions (approximately 40% lower), with the effect becoming more pronounced at longer return periods. Explicitly accounting for these nonlinear amplification characteristics at the TSF location is critical for accurately evaluating dynamic response and seismic risk at higher seismic loading levels such as the SEE/MCE.</w:t>
      </w:r>
    </w:p>
    <w:p>
      <w:pPr>
        <w:pStyle w:val="FirstParagraph"/>
      </w:pPr>
      <w:r>
        <w:t xml:space="preserve">Alejandro Verri Kozlowski</w:t>
      </w:r>
      <w:r>
        <w:t xml:space="preserve"> </w:t>
      </w:r>
      <w:r>
        <w:rPr>
          <w:i/>
          <w:iCs/>
        </w:rPr>
        <w:t xml:space="preserve">P.Eng. (Civil), AM.ASCE, EERI</w:t>
      </w:r>
      <w:r>
        <w:br/>
      </w:r>
      <w:r>
        <w:rPr>
          <w:i/>
          <w:iCs/>
        </w:rPr>
        <w:t xml:space="preserve">Corporate Consultant (Seismic Engineering)</w:t>
      </w:r>
      <w:r>
        <w:br/>
      </w:r>
      <w:r>
        <w:rPr>
          <w:b/>
          <w:bCs/>
        </w:rPr>
        <w:t xml:space="preserve">SRK Consulting (Argentina)</w:t>
      </w:r>
      <w:r>
        <w:br/>
      </w:r>
    </w:p>
    <w:bookmarkEnd w:id="30"/>
    <w:bookmarkEnd w:id="31"/>
    <w:bookmarkStart w:id="70" w:name="references"/>
    <w:p>
      <w:pPr>
        <w:pStyle w:val="Heading1"/>
      </w:pPr>
      <w:r>
        <w:t xml:space="preserve">References</w:t>
      </w:r>
    </w:p>
    <w:bookmarkStart w:id="69" w:name="refs"/>
    <w:bookmarkStart w:id="32" w:name="ref-Abrahamson2014"/>
    <w:p>
      <w:pPr>
        <w:pStyle w:val="Bibliography"/>
      </w:pPr>
      <w:r>
        <w:t xml:space="preserve">Abrahamson, N. et al. 2014.</w:t>
      </w:r>
      <w:r>
        <w:t xml:space="preserve"> </w:t>
      </w:r>
      <w:r>
        <w:t xml:space="preserve">“NGA-West2 Ground Motion Model for Active Crustal Regions.”</w:t>
      </w:r>
      <w:r>
        <w:t xml:space="preserve"> </w:t>
      </w:r>
      <w:r>
        <w:rPr>
          <w:i/>
          <w:iCs/>
        </w:rPr>
        <w:t xml:space="preserve">Earthquake Spectra</w:t>
      </w:r>
      <w:r>
        <w:t xml:space="preserve"> </w:t>
      </w:r>
      <w:r>
        <w:t xml:space="preserve">30: 1025–55.</w:t>
      </w:r>
    </w:p>
    <w:bookmarkEnd w:id="32"/>
    <w:bookmarkStart w:id="34" w:name="ref-Abrahamson2016"/>
    <w:p>
      <w:pPr>
        <w:pStyle w:val="Bibliography"/>
      </w:pPr>
      <w:r>
        <w:t xml:space="preserve">Abrahamson, N. A., N. Gregor, and K. Addo. 2016.</w:t>
      </w:r>
      <w:r>
        <w:t xml:space="preserve"> </w:t>
      </w:r>
      <w:r>
        <w:t xml:space="preserve">“BC Hydro Ground‑motion Prediction Equations for Subduction Earthquakes: Revision.”</w:t>
      </w:r>
      <w:r>
        <w:t xml:space="preserve"> </w:t>
      </w:r>
      <w:r>
        <w:rPr>
          <w:i/>
          <w:iCs/>
        </w:rPr>
        <w:t xml:space="preserve">Earthquake Spectra</w:t>
      </w:r>
      <w:r>
        <w:t xml:space="preserve"> </w:t>
      </w:r>
      <w:r>
        <w:t xml:space="preserve">32 (1): 23–44.</w:t>
      </w:r>
      <w:r>
        <w:t xml:space="preserve"> </w:t>
      </w:r>
      <w:hyperlink r:id="rId33">
        <w:r>
          <w:rPr>
            <w:rStyle w:val="Hyperlink"/>
          </w:rPr>
          <w:t xml:space="preserve">https://doi.org/10.1193/062913EQS197M</w:t>
        </w:r>
      </w:hyperlink>
      <w:r>
        <w:t xml:space="preserve">.</w:t>
      </w:r>
    </w:p>
    <w:bookmarkEnd w:id="34"/>
    <w:bookmarkStart w:id="36" w:name="ref-Abrahamson2018"/>
    <w:p>
      <w:pPr>
        <w:pStyle w:val="Bibliography"/>
      </w:pPr>
      <w:r>
        <w:t xml:space="preserve">Abrahamson, Norman A., Nicholas Gregor, and Kenneth Addo. 2018.</w:t>
      </w:r>
      <w:r>
        <w:t xml:space="preserve"> </w:t>
      </w:r>
      <w:r>
        <w:t xml:space="preserve">“Update of the BC Hydro Subduction Ground-Motion Model Using the NGA-Subduction Dataset.”</w:t>
      </w:r>
      <w:r>
        <w:t xml:space="preserve"> </w:t>
      </w:r>
      <w:r>
        <w:t xml:space="preserve">Pacific Earthquake Engineering Research Center.</w:t>
      </w:r>
      <w:r>
        <w:t xml:space="preserve"> </w:t>
      </w:r>
      <w:hyperlink r:id="rId35">
        <w:r>
          <w:rPr>
            <w:rStyle w:val="Hyperlink"/>
          </w:rPr>
          <w:t xml:space="preserve">https://peer.berkeley.edu/sites/default/files/abrahamson_bc_hydro_subduction_gmpe_peer2018.pdf</w:t>
        </w:r>
      </w:hyperlink>
      <w:r>
        <w:t xml:space="preserve">.</w:t>
      </w:r>
    </w:p>
    <w:bookmarkEnd w:id="36"/>
    <w:bookmarkStart w:id="38" w:name="ref-Abrahamson2020"/>
    <w:p>
      <w:pPr>
        <w:pStyle w:val="Bibliography"/>
      </w:pPr>
      <w:r>
        <w:t xml:space="preserve">———. 2020.</w:t>
      </w:r>
      <w:r>
        <w:t xml:space="preserve"> </w:t>
      </w:r>
      <w:r>
        <w:t xml:space="preserve">“BC Hydro Ground Motion Prediction Equations for Subduction Earthquakes.”</w:t>
      </w:r>
      <w:r>
        <w:t xml:space="preserve"> </w:t>
      </w:r>
      <w:r>
        <w:t xml:space="preserve">BC Hydro.</w:t>
      </w:r>
      <w:r>
        <w:t xml:space="preserve"> </w:t>
      </w:r>
      <w:hyperlink r:id="rId37">
        <w:r>
          <w:rPr>
            <w:rStyle w:val="Hyperlink"/>
          </w:rPr>
          <w:t xml:space="preserve">https://www.bchydro.com/content/dam/BCHydro/customer-portal/documents/projects/ground-motion-prediction-equations.pdf</w:t>
        </w:r>
      </w:hyperlink>
      <w:r>
        <w:t xml:space="preserve">.</w:t>
      </w:r>
    </w:p>
    <w:bookmarkEnd w:id="38"/>
    <w:bookmarkStart w:id="40" w:name="ref-ANCOLD2019"/>
    <w:p>
      <w:pPr>
        <w:pStyle w:val="Bibliography"/>
      </w:pPr>
      <w:r>
        <w:t xml:space="preserve">Australian National Committee on Large Dams. 2019.</w:t>
      </w:r>
      <w:r>
        <w:t xml:space="preserve"> </w:t>
      </w:r>
      <w:r>
        <w:t xml:space="preserve">“Guidelines on Design Criteria for Concrete and Embankment Dams to Resist Seismic Loading.”</w:t>
      </w:r>
      <w:r>
        <w:t xml:space="preserve"> </w:t>
      </w:r>
      <w:r>
        <w:t xml:space="preserve">ANCOLD.</w:t>
      </w:r>
      <w:r>
        <w:t xml:space="preserve"> </w:t>
      </w:r>
      <w:hyperlink r:id="rId39">
        <w:r>
          <w:rPr>
            <w:rStyle w:val="Hyperlink"/>
          </w:rPr>
          <w:t xml:space="preserve">https://ancold.org.au</w:t>
        </w:r>
      </w:hyperlink>
      <w:r>
        <w:t xml:space="preserve">.</w:t>
      </w:r>
    </w:p>
    <w:bookmarkEnd w:id="40"/>
    <w:bookmarkStart w:id="42" w:name="ref-Bommer2012"/>
    <w:p>
      <w:pPr>
        <w:pStyle w:val="Bibliography"/>
      </w:pPr>
      <w:r>
        <w:t xml:space="preserve">Bommer, Julian J. 2012.</w:t>
      </w:r>
      <w:r>
        <w:t xml:space="preserve"> </w:t>
      </w:r>
      <w:r>
        <w:t xml:space="preserve">“Challenges of Building Logic Trees for Probabilistic Seismic Hazard Analysis.”</w:t>
      </w:r>
      <w:r>
        <w:t xml:space="preserve"> </w:t>
      </w:r>
      <w:r>
        <w:rPr>
          <w:i/>
          <w:iCs/>
        </w:rPr>
        <w:t xml:space="preserve">Earthquake Spectra</w:t>
      </w:r>
      <w:r>
        <w:t xml:space="preserve"> </w:t>
      </w:r>
      <w:r>
        <w:t xml:space="preserve">28 (4): 1723–35.</w:t>
      </w:r>
      <w:r>
        <w:t xml:space="preserve"> </w:t>
      </w:r>
      <w:hyperlink r:id="rId41">
        <w:r>
          <w:rPr>
            <w:rStyle w:val="Hyperlink"/>
          </w:rPr>
          <w:t xml:space="preserve">https://doi.org/10.1193/1.4000079</w:t>
        </w:r>
      </w:hyperlink>
      <w:r>
        <w:t xml:space="preserve">.</w:t>
      </w:r>
    </w:p>
    <w:bookmarkEnd w:id="42"/>
    <w:bookmarkStart w:id="44" w:name="ref-Bommer2015"/>
    <w:p>
      <w:pPr>
        <w:pStyle w:val="Bibliography"/>
      </w:pPr>
      <w:r>
        <w:t xml:space="preserve">Bommer, Julian J., Norman A. Abrahamson, Flavia O. Strasser, Alain Pecker, Pierre-Yves Bard, Hilmar Bungum, Fabrice Cotton, et al. 2015.</w:t>
      </w:r>
      <w:r>
        <w:t xml:space="preserve"> </w:t>
      </w:r>
      <w:r>
        <w:t xml:space="preserve">“The Challenge of Defining Upper Bounds on Earthquake Ground Motions.”</w:t>
      </w:r>
      <w:r>
        <w:t xml:space="preserve"> </w:t>
      </w:r>
      <w:r>
        <w:rPr>
          <w:i/>
          <w:iCs/>
        </w:rPr>
        <w:t xml:space="preserve">Seismological Research Letters</w:t>
      </w:r>
      <w:r>
        <w:t xml:space="preserve"> </w:t>
      </w:r>
      <w:r>
        <w:t xml:space="preserve">86 (4): 1127–34.</w:t>
      </w:r>
      <w:r>
        <w:t xml:space="preserve"> </w:t>
      </w:r>
      <w:hyperlink r:id="rId43">
        <w:r>
          <w:rPr>
            <w:rStyle w:val="Hyperlink"/>
          </w:rPr>
          <w:t xml:space="preserve">https://doi.org/10.1785/0220140208</w:t>
        </w:r>
      </w:hyperlink>
      <w:r>
        <w:t xml:space="preserve">.</w:t>
      </w:r>
    </w:p>
    <w:bookmarkEnd w:id="44"/>
    <w:bookmarkStart w:id="45" w:name="ref-Boore2014"/>
    <w:p>
      <w:pPr>
        <w:pStyle w:val="Bibliography"/>
      </w:pPr>
      <w:r>
        <w:t xml:space="preserve">Boore, D. M., J. P. Stewart, E. Seyhan, and G. M. Atkinson. 2014.</w:t>
      </w:r>
      <w:r>
        <w:t xml:space="preserve"> </w:t>
      </w:r>
      <w:r>
        <w:t xml:space="preserve">“NGA‑West2 Equations for Predicting PGA, PGV and 5 /.”</w:t>
      </w:r>
      <w:r>
        <w:t xml:space="preserve"> </w:t>
      </w:r>
      <w:r>
        <w:rPr>
          <w:i/>
          <w:iCs/>
        </w:rPr>
        <w:t xml:space="preserve">Earthquake Spectra</w:t>
      </w:r>
      <w:r>
        <w:t xml:space="preserve"> </w:t>
      </w:r>
      <w:r>
        <w:t xml:space="preserve">30 (3): 1057–85.</w:t>
      </w:r>
    </w:p>
    <w:bookmarkEnd w:id="45"/>
    <w:bookmarkStart w:id="46" w:name="ref-Campbell2014"/>
    <w:p>
      <w:pPr>
        <w:pStyle w:val="Bibliography"/>
      </w:pPr>
      <w:r>
        <w:t xml:space="preserve">Campbell, K., and Y. Bozorgnia. 2014.</w:t>
      </w:r>
      <w:r>
        <w:t xml:space="preserve"> </w:t>
      </w:r>
      <w:r>
        <w:t xml:space="preserve">“NGA-West2 Ground Motion Model.”</w:t>
      </w:r>
      <w:r>
        <w:t xml:space="preserve"> </w:t>
      </w:r>
      <w:r>
        <w:rPr>
          <w:i/>
          <w:iCs/>
        </w:rPr>
        <w:t xml:space="preserve">Earthquake Spectra</w:t>
      </w:r>
      <w:r>
        <w:t xml:space="preserve"> </w:t>
      </w:r>
      <w:r>
        <w:t xml:space="preserve">30: 1087–1115.</w:t>
      </w:r>
    </w:p>
    <w:bookmarkEnd w:id="46"/>
    <w:bookmarkStart w:id="48" w:name="ref-USSD2022"/>
    <w:p>
      <w:pPr>
        <w:pStyle w:val="Bibliography"/>
      </w:pPr>
      <w:r>
        <w:t xml:space="preserve">Dams (USSD), United States Society on. 2022.</w:t>
      </w:r>
      <w:r>
        <w:t xml:space="preserve"> </w:t>
      </w:r>
      <w:r>
        <w:t xml:space="preserve">“Analysis of Seismic Deformations of Embankment Dams.”</w:t>
      </w:r>
      <w:r>
        <w:t xml:space="preserve"> </w:t>
      </w:r>
      <w:r>
        <w:t xml:space="preserve">United States Society on Dams.</w:t>
      </w:r>
      <w:r>
        <w:t xml:space="preserve"> </w:t>
      </w:r>
      <w:hyperlink r:id="rId47">
        <w:r>
          <w:rPr>
            <w:rStyle w:val="Hyperlink"/>
          </w:rPr>
          <w:t xml:space="preserve">https://www.ussdams.org/resource-center/publications/</w:t>
        </w:r>
      </w:hyperlink>
      <w:r>
        <w:t xml:space="preserve">.</w:t>
      </w:r>
    </w:p>
    <w:bookmarkEnd w:id="48"/>
    <w:bookmarkStart w:id="49" w:name="ref-ATCW2020"/>
    <w:p>
      <w:pPr>
        <w:pStyle w:val="Bibliography"/>
      </w:pPr>
      <w:r>
        <w:t xml:space="preserve">Dimas, Vicki-Ann. 2020.</w:t>
      </w:r>
      <w:r>
        <w:t xml:space="preserve"> </w:t>
      </w:r>
      <w:r>
        <w:t xml:space="preserve">“Kainantu Gold Mine, Papua New Guinea: Probabilistic Seismic Hazard Analysis Report.”</w:t>
      </w:r>
      <w:r>
        <w:t xml:space="preserve"> </w:t>
      </w:r>
      <w:r>
        <w:t xml:space="preserve">116259.04 R001. Brisbane, Australia: ATC Williams Pty Ltd.</w:t>
      </w:r>
    </w:p>
    <w:bookmarkEnd w:id="49"/>
    <w:bookmarkStart w:id="51" w:name="ref-DimasGibson2016"/>
    <w:p>
      <w:pPr>
        <w:pStyle w:val="Bibliography"/>
      </w:pPr>
      <w:r>
        <w:t xml:space="preserve">Dimas, Vicki-Ann, and Gary Gibson. 2016.</w:t>
      </w:r>
      <w:r>
        <w:t xml:space="preserve"> </w:t>
      </w:r>
      <w:r>
        <w:t xml:space="preserve">“Modelling Subduction Zone Seismogenic Hazards in Southeast Asia for Seismic Hazard Assessments (ASIA-1).”</w:t>
      </w:r>
      <w:r>
        <w:t xml:space="preserve"> </w:t>
      </w:r>
      <w:r>
        <w:t xml:space="preserve">In</w:t>
      </w:r>
      <w:r>
        <w:t xml:space="preserve"> </w:t>
      </w:r>
      <w:r>
        <w:rPr>
          <w:i/>
          <w:iCs/>
        </w:rPr>
        <w:t xml:space="preserve">11th Asian Seismological Commission General Assembly / Australian Earthquake Engineering Society Conference</w:t>
      </w:r>
      <w:r>
        <w:t xml:space="preserve">. Melbourne, Australia.</w:t>
      </w:r>
      <w:r>
        <w:t xml:space="preserve"> </w:t>
      </w:r>
      <w:hyperlink r:id="rId50">
        <w:r>
          <w:rPr>
            <w:rStyle w:val="Hyperlink"/>
          </w:rPr>
          <w:t xml:space="preserve">https://aees.org.au/wp-content/uploads/2018/02/13-Dimas-Gibson.pdf</w:t>
        </w:r>
      </w:hyperlink>
      <w:r>
        <w:t xml:space="preserve">.</w:t>
      </w:r>
    </w:p>
    <w:bookmarkEnd w:id="51"/>
    <w:bookmarkStart w:id="53" w:name="ref-FEMA2015"/>
    <w:p>
      <w:pPr>
        <w:pStyle w:val="Bibliography"/>
      </w:pPr>
      <w:r>
        <w:t xml:space="preserve">Federal Emergency Management Agency. 2015.</w:t>
      </w:r>
      <w:r>
        <w:t xml:space="preserve"> </w:t>
      </w:r>
      <w:r>
        <w:t xml:space="preserve">“Federal Guidelines for Dam Safety: Earthquake Analyses and Design of Dams.”</w:t>
      </w:r>
      <w:r>
        <w:t xml:space="preserve"> </w:t>
      </w:r>
      <w:r>
        <w:t xml:space="preserve">P-1025. FEMA.</w:t>
      </w:r>
      <w:r>
        <w:t xml:space="preserve"> </w:t>
      </w:r>
      <w:hyperlink r:id="rId52">
        <w:r>
          <w:rPr>
            <w:rStyle w:val="Hyperlink"/>
          </w:rPr>
          <w:t xml:space="preserve">https://www.fema.gov</w:t>
        </w:r>
      </w:hyperlink>
      <w:r>
        <w:t xml:space="preserve">.</w:t>
      </w:r>
    </w:p>
    <w:bookmarkEnd w:id="53"/>
    <w:bookmarkStart w:id="55" w:name="ref-Ghasemi2020"/>
    <w:p>
      <w:pPr>
        <w:pStyle w:val="Bibliography"/>
      </w:pPr>
      <w:r>
        <w:t xml:space="preserve">Ghasemi, Hadi, Phil R. Cummins, Graeme Weatherill, Chris McKee, Mark Hazelwood, and Trevor I. Allen. 2020.</w:t>
      </w:r>
      <w:r>
        <w:t xml:space="preserve"> </w:t>
      </w:r>
      <w:r>
        <w:t xml:space="preserve">“Seismotectonic Model and Probabilistic Seismic Hazard Assessment for Papua New Guinea.”</w:t>
      </w:r>
      <w:r>
        <w:t xml:space="preserve"> </w:t>
      </w:r>
      <w:r>
        <w:rPr>
          <w:i/>
          <w:iCs/>
        </w:rPr>
        <w:t xml:space="preserve">Bulletin of Earthquake Engineering</w:t>
      </w:r>
      <w:r>
        <w:t xml:space="preserve"> </w:t>
      </w:r>
      <w:r>
        <w:t xml:space="preserve">18 (15): 6571–6605.</w:t>
      </w:r>
      <w:r>
        <w:t xml:space="preserve"> </w:t>
      </w:r>
      <w:hyperlink r:id="rId54">
        <w:r>
          <w:rPr>
            <w:rStyle w:val="Hyperlink"/>
          </w:rPr>
          <w:t xml:space="preserve">https://doi.org/10.1007/s10518-020-00966-1</w:t>
        </w:r>
      </w:hyperlink>
      <w:r>
        <w:t xml:space="preserve">.</w:t>
      </w:r>
    </w:p>
    <w:bookmarkEnd w:id="55"/>
    <w:bookmarkStart w:id="56" w:name="ref-GEM2023PNG"/>
    <w:p>
      <w:pPr>
        <w:pStyle w:val="Bibliography"/>
      </w:pPr>
      <w:r>
        <w:t xml:space="preserve">Ghasemi, H., P. Cummins, G. Weatherill, C. McKee, M. Hazelwood, and T. Allen. 2023.</w:t>
      </w:r>
      <w:r>
        <w:t xml:space="preserve"> </w:t>
      </w:r>
      <w:r>
        <w:t xml:space="preserve">“PSHA Input Model Documentation for Papua New Guinea (PNG V2020.0.0).”</w:t>
      </w:r>
      <w:r>
        <w:t xml:space="preserve"> </w:t>
      </w:r>
      <w:r>
        <w:t xml:space="preserve">Global Earthquake Model (GEM) Foundation.</w:t>
      </w:r>
      <w:r>
        <w:t xml:space="preserve"> </w:t>
      </w:r>
      <w:hyperlink r:id="rId20">
        <w:r>
          <w:rPr>
            <w:rStyle w:val="Hyperlink"/>
          </w:rPr>
          <w:t xml:space="preserve">https://hazard.openquake.org/gem/pdf/png-report.pdf</w:t>
        </w:r>
      </w:hyperlink>
      <w:r>
        <w:t xml:space="preserve">.</w:t>
      </w:r>
    </w:p>
    <w:bookmarkEnd w:id="56"/>
    <w:bookmarkStart w:id="58" w:name="ref-Ghasemi2016"/>
    <w:p>
      <w:pPr>
        <w:pStyle w:val="Bibliography"/>
      </w:pPr>
      <w:r>
        <w:t xml:space="preserve">Ghasemi, H., C. McKee, M. Leonard, P. Cummins, M. Moihoi, S. Spiliopoulos, F. Taranu, and E. Buri. 2016.</w:t>
      </w:r>
      <w:r>
        <w:t xml:space="preserve"> </w:t>
      </w:r>
      <w:r>
        <w:t xml:space="preserve">“Probabilistic Seismic Hazard Map of Papua New Guinea.”</w:t>
      </w:r>
      <w:r>
        <w:t xml:space="preserve"> </w:t>
      </w:r>
      <w:r>
        <w:rPr>
          <w:i/>
          <w:iCs/>
        </w:rPr>
        <w:t xml:space="preserve">Natural Hazards</w:t>
      </w:r>
      <w:r>
        <w:t xml:space="preserve"> </w:t>
      </w:r>
      <w:r>
        <w:t xml:space="preserve">81 (2): 1003–25.</w:t>
      </w:r>
      <w:r>
        <w:t xml:space="preserve"> </w:t>
      </w:r>
      <w:hyperlink r:id="rId57">
        <w:r>
          <w:rPr>
            <w:rStyle w:val="Hyperlink"/>
          </w:rPr>
          <w:t xml:space="preserve">https://doi.org/10.1007/s11069-015-2117-8</w:t>
        </w:r>
      </w:hyperlink>
      <w:r>
        <w:t xml:space="preserve">.</w:t>
      </w:r>
    </w:p>
    <w:bookmarkEnd w:id="58"/>
    <w:bookmarkStart w:id="59" w:name="ref-GEM2023"/>
    <w:p>
      <w:pPr>
        <w:pStyle w:val="Bibliography"/>
      </w:pPr>
      <w:r>
        <w:t xml:space="preserve">Global Earthquake Model Foundation. 2023.</w:t>
      </w:r>
      <w:r>
        <w:t xml:space="preserve"> </w:t>
      </w:r>
      <w:r>
        <w:t xml:space="preserve">“Papua New Guinea Seismic Hazard Model V2020.0.0: Technical Report.”</w:t>
      </w:r>
      <w:r>
        <w:t xml:space="preserve"> </w:t>
      </w:r>
      <w:r>
        <w:t xml:space="preserve">GEM Foundation Report.</w:t>
      </w:r>
      <w:r>
        <w:t xml:space="preserve"> </w:t>
      </w:r>
      <w:hyperlink r:id="rId20">
        <w:r>
          <w:rPr>
            <w:rStyle w:val="Hyperlink"/>
          </w:rPr>
          <w:t xml:space="preserve">https://hazard.openquake.org/gem/pdf/png-report.pdf</w:t>
        </w:r>
      </w:hyperlink>
      <w:r>
        <w:t xml:space="preserve">.</w:t>
      </w:r>
    </w:p>
    <w:bookmarkEnd w:id="59"/>
    <w:bookmarkStart w:id="60" w:name="ref-McGuire2004"/>
    <w:p>
      <w:pPr>
        <w:pStyle w:val="Bibliography"/>
      </w:pPr>
      <w:r>
        <w:t xml:space="preserve">McGuire, Robin K. 2004.</w:t>
      </w:r>
      <w:r>
        <w:t xml:space="preserve"> </w:t>
      </w:r>
      <w:r>
        <w:t xml:space="preserve">“Seismic Hazard and Risk Analysis.”</w:t>
      </w:r>
      <w:r>
        <w:t xml:space="preserve"> </w:t>
      </w:r>
      <w:r>
        <w:rPr>
          <w:i/>
          <w:iCs/>
        </w:rPr>
        <w:t xml:space="preserve">Earthquake Engineering Research Institute</w:t>
      </w:r>
      <w:r>
        <w:t xml:space="preserve">.</w:t>
      </w:r>
    </w:p>
    <w:bookmarkEnd w:id="60"/>
    <w:bookmarkStart w:id="62" w:name="ref-Parker2020"/>
    <w:p>
      <w:pPr>
        <w:pStyle w:val="Bibliography"/>
      </w:pPr>
      <w:r>
        <w:t xml:space="preserve">Parker, Grace, Jonathan P. Stewart, Norman A. Abrahamson, Gail M. Atkinson, and David M. Boore. 2020.</w:t>
      </w:r>
      <w:r>
        <w:t xml:space="preserve"> </w:t>
      </w:r>
      <w:r>
        <w:t xml:space="preserve">“Validation of NGA-Subduction Ground-Motion Models.”</w:t>
      </w:r>
      <w:r>
        <w:t xml:space="preserve"> </w:t>
      </w:r>
      <w:r>
        <w:rPr>
          <w:i/>
          <w:iCs/>
        </w:rPr>
        <w:t xml:space="preserve">Earthquake Spectra</w:t>
      </w:r>
      <w:r>
        <w:t xml:space="preserve"> </w:t>
      </w:r>
      <w:r>
        <w:t xml:space="preserve">36 (1_suppl): 121–42.</w:t>
      </w:r>
      <w:r>
        <w:t xml:space="preserve"> </w:t>
      </w:r>
      <w:hyperlink r:id="rId61">
        <w:r>
          <w:rPr>
            <w:rStyle w:val="Hyperlink"/>
          </w:rPr>
          <w:t xml:space="preserve">https://doi.org/10.1177/8755293020938894</w:t>
        </w:r>
      </w:hyperlink>
      <w:r>
        <w:t xml:space="preserve">.</w:t>
      </w:r>
    </w:p>
    <w:bookmarkEnd w:id="62"/>
    <w:bookmarkStart w:id="64" w:name="ref-USGS2007"/>
    <w:p>
      <w:pPr>
        <w:pStyle w:val="Bibliography"/>
      </w:pPr>
      <w:r>
        <w:t xml:space="preserve">United States Geological Survey. 2007.</w:t>
      </w:r>
      <w:r>
        <w:t xml:space="preserve"> </w:t>
      </w:r>
      <w:r>
        <w:t xml:space="preserve">“M 8.0—New Britain Region, Papua New Guinea: Event Summary.”</w:t>
      </w:r>
      <w:r>
        <w:t xml:space="preserve"> </w:t>
      </w:r>
      <w:r>
        <w:t xml:space="preserve">USGS Earthquake Hazards Program.</w:t>
      </w:r>
      <w:r>
        <w:t xml:space="preserve"> </w:t>
      </w:r>
      <w:hyperlink r:id="rId63">
        <w:r>
          <w:rPr>
            <w:rStyle w:val="Hyperlink"/>
          </w:rPr>
          <w:t xml:space="preserve">https://earthquake.usgs.gov/earthquakes/eventpage/usp000fbad/executive</w:t>
        </w:r>
      </w:hyperlink>
      <w:r>
        <w:t xml:space="preserve">.</w:t>
      </w:r>
    </w:p>
    <w:bookmarkEnd w:id="64"/>
    <w:bookmarkStart w:id="66" w:name="ref-NRC2012"/>
    <w:p>
      <w:pPr>
        <w:pStyle w:val="Bibliography"/>
      </w:pPr>
      <w:r>
        <w:t xml:space="preserve">U.S. Nuclear Regulatory Commission. 2012.</w:t>
      </w:r>
      <w:r>
        <w:t xml:space="preserve"> </w:t>
      </w:r>
      <w:r>
        <w:t xml:space="preserve">“Practical Implementation of the Senior Seismic Hazard Analysis Committee (SSHAC) Guidance.”</w:t>
      </w:r>
      <w:r>
        <w:t xml:space="preserve"> </w:t>
      </w:r>
      <w:r>
        <w:t xml:space="preserve">NUREG-2117, Rev. 1.</w:t>
      </w:r>
      <w:r>
        <w:t xml:space="preserve"> </w:t>
      </w:r>
      <w:hyperlink r:id="rId65">
        <w:r>
          <w:rPr>
            <w:rStyle w:val="Hyperlink"/>
          </w:rPr>
          <w:t xml:space="preserve">https://www.nrc.gov/docs/ML1211/ML12118A445.pdf</w:t>
        </w:r>
      </w:hyperlink>
      <w:r>
        <w:t xml:space="preserve">.</w:t>
      </w:r>
    </w:p>
    <w:bookmarkEnd w:id="66"/>
    <w:bookmarkStart w:id="68" w:name="ref-Wallace2021"/>
    <w:p>
      <w:pPr>
        <w:pStyle w:val="Bibliography"/>
      </w:pPr>
      <w:r>
        <w:t xml:space="preserve">Wallace, L. M., C. W. Stevens, R. McCaffrey, and P. Tregoning. 2021.</w:t>
      </w:r>
      <w:r>
        <w:t xml:space="preserve"> </w:t>
      </w:r>
      <w:r>
        <w:t xml:space="preserve">“Rapid Uplift and Convergence on the Ramu–Markham Fault System, Papua New Guinea.”</w:t>
      </w:r>
      <w:r>
        <w:t xml:space="preserve"> </w:t>
      </w:r>
      <w:r>
        <w:rPr>
          <w:i/>
          <w:iCs/>
        </w:rPr>
        <w:t xml:space="preserve">Geophysical Research Letters</w:t>
      </w:r>
      <w:r>
        <w:t xml:space="preserve"> </w:t>
      </w:r>
      <w:r>
        <w:t xml:space="preserve">48 (16): e2021GL093001.</w:t>
      </w:r>
      <w:r>
        <w:t xml:space="preserve"> </w:t>
      </w:r>
      <w:hyperlink r:id="rId67">
        <w:r>
          <w:rPr>
            <w:rStyle w:val="Hyperlink"/>
          </w:rPr>
          <w:t xml:space="preserve">https://doi.org/10.1029/2021GL093001</w:t>
        </w:r>
      </w:hyperlink>
      <w:r>
        <w:t xml:space="preserve">.</w:t>
      </w:r>
    </w:p>
    <w:bookmarkEnd w:id="68"/>
    <w:bookmarkEnd w:id="69"/>
    <w:bookmarkEnd w:id="70"/>
    <w:sectPr w:rsidR="00336EE6" w:rsidSect="00801857">
      <w:headerReference r:id="rId10" w:type="default"/>
      <w:footerReference r:id="rId11" w:type="default"/>
      <w:pgSz w:code="1" w:h="15840" w:w="12240"/>
      <w:pgMar w:bottom="1440" w:footer="576" w:gutter="0" w:header="576" w:left="288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SemiBold">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B722C" w14:textId="77777777" w:rsidR="00801857" w:rsidRDefault="00801857" w:rsidP="00336EE6">
    <w:pPr>
      <w:pStyle w:val="Footer"/>
      <w:ind w:left="-1440"/>
    </w:pPr>
    <w:r w:rsidRPr="00C43FB3">
      <w:t xml:space="preserve">SRK CONSULTING  </w:t>
    </w:r>
    <w:r w:rsidRPr="00035AF0">
      <w:rPr>
        <w:rFonts w:cstheme="minorHAnsi"/>
        <w:color w:val="F37021"/>
      </w:rPr>
      <w:sym w:font="Wingdings 2" w:char="F0A1"/>
    </w:r>
    <w:r w:rsidRPr="00035AF0">
      <w:t xml:space="preserve">  </w:t>
    </w:r>
    <w:sdt>
      <w:sdtPr>
        <w:tag w:val="Publish Date"/>
        <w:id w:val="-24404949"/>
        <w:placeholder>
          <w:docPart w:val="016216A70DCEE44EB48EF4AE61D0F80E"/>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rsidR="000A3DF4" w:rsidRPr="000A3DF4">
          <w:t>[Publish Date]</w:t>
        </w:r>
      </w:sdtContent>
    </w:sdt>
    <w:r w:rsidRPr="00035AF0">
      <w:t xml:space="preserve">  </w:t>
    </w:r>
    <w:r w:rsidRPr="00035AF0">
      <w:rPr>
        <w:rFonts w:cstheme="minorHAnsi"/>
        <w:color w:val="F37021"/>
      </w:rPr>
      <w:sym w:font="Wingdings 2" w:char="F0A1"/>
    </w:r>
    <w:r w:rsidRPr="00035AF0">
      <w:t xml:space="preserve">  </w:t>
    </w:r>
    <w:sdt>
      <w:sdtPr>
        <w:tag w:val="Footer"/>
        <w:id w:val="1405183133"/>
        <w:placeholder>
          <w:docPart w:val="92C2FEF28DB092499559294F41B8092F"/>
        </w:placeholder>
        <w:showingPlcHdr/>
        <w:dataBinding w:prefixMappings="xmlns:ns0='http://schemas.microsoft.com/office/2006/coverPageProps' " w:xpath="/ns0:CoverPageProperties[1]/ns0:Abstract[1]" w:storeItemID="{55AF091B-3C7A-41E3-B477-F2FDAA23CFDA}"/>
        <w:text/>
      </w:sdtPr>
      <w:sdtContent>
        <w:r w:rsidR="00760AE7" w:rsidRPr="00760AE7">
          <w:t>ADD NOTE OR DELETE INCLUDING PRECEDING BULLET.</w:t>
        </w:r>
      </w:sdtContent>
    </w:sdt>
    <w:r w:rsidRPr="00035AF0">
      <w:ptab w:relativeTo="margin" w:alignment="right" w:leader="none"/>
    </w:r>
    <w:r w:rsidRPr="00035AF0">
      <w:fldChar w:fldCharType="begin"/>
    </w:r>
    <w:r w:rsidRPr="00035AF0">
      <w:instrText xml:space="preserve"> PAGE   \* MERGEFORMAT </w:instrText>
    </w:r>
    <w:r w:rsidRPr="00035AF0">
      <w:fldChar w:fldCharType="separate"/>
    </w:r>
    <w:r>
      <w:t>iii</w:t>
    </w:r>
    <w:r w:rsidRPr="00035AF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8097A" w14:textId="77777777" w:rsidR="00336EE6" w:rsidRDefault="00336EE6" w:rsidP="00A42351">
    <w:pPr>
      <w:pStyle w:val="Footer"/>
      <w:pBdr>
        <w:top w:val="none" w:sz="0" w:space="0" w:color="auto"/>
      </w:pBd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CF9C9" w14:textId="77777777" w:rsidR="00801857" w:rsidRDefault="00000000" w:rsidP="00336EE6">
    <w:pPr>
      <w:pStyle w:val="Header"/>
      <w:ind w:left="-1440"/>
    </w:pPr>
    <w:sdt>
      <w:sdtPr>
        <w:alias w:val="Title"/>
        <w:tag w:val=""/>
        <w:id w:val="-1291671324"/>
        <w:placeholder>
          <w:docPart w:val="1C1CBEF7DCCB0246AA6C35E8CA938EC5"/>
        </w:placeholder>
        <w:showingPlcHdr/>
        <w:dataBinding w:prefixMappings="xmlns:ns0='http://purl.org/dc/elements/1.1/' xmlns:ns1='http://schemas.openxmlformats.org/package/2006/metadata/core-properties' " w:xpath="/ns1:coreProperties[1]/ns0:title[1]" w:storeItemID="{6C3C8BC8-F283-45AE-878A-BAB7291924A1}"/>
        <w:text/>
      </w:sdtPr>
      <w:sdtContent>
        <w:r w:rsidR="00801857" w:rsidRPr="00C43FB3">
          <w:t>[Title]</w:t>
        </w:r>
      </w:sdtContent>
    </w:sdt>
    <w:r w:rsidR="00801857" w:rsidRPr="00035AF0">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9DDB0" w14:textId="77777777" w:rsidR="00336EE6" w:rsidRPr="00A42351" w:rsidRDefault="00336EE6" w:rsidP="00A42351">
    <w:pPr>
      <w:pStyle w:val="Header"/>
      <w:pBdr>
        <w:bottom w:val="none" w:sz="0" w:space="0" w:color="auto"/>
      </w:pBd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102266C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1FA1E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0E4E84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01CAB2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0E89B6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C6B82BD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03C8934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773CB8C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451A53D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7BA81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F14725"/>
    <w:multiLevelType w:val="multilevel"/>
    <w:tmpl w:val="C54EBE22"/>
    <w:styleLink w:val="SRKBulletList"/>
    <w:lvl w:ilvl="0">
      <w:start w:val="1"/>
      <w:numFmt w:val="bullet"/>
      <w:pStyle w:val="ListBullet"/>
      <w:lvlText w:val="▪"/>
      <w:lvlJc w:val="left"/>
      <w:pPr>
        <w:tabs>
          <w:tab w:pos="360" w:val="num"/>
        </w:tabs>
        <w:ind w:hanging="360" w:left="360"/>
      </w:pPr>
      <w:rPr>
        <w:rFonts w:ascii="Aptos SemiBold" w:hAnsi="Aptos SemiBold" w:hint="default"/>
        <w:color w:themeColor="text2" w:val="F37021"/>
      </w:rPr>
    </w:lvl>
    <w:lvl w:ilvl="1">
      <w:start w:val="1"/>
      <w:numFmt w:val="bullet"/>
      <w:pStyle w:val="ListBullet2"/>
      <w:lvlText w:val="–"/>
      <w:lvlJc w:val="left"/>
      <w:pPr>
        <w:tabs>
          <w:tab w:pos="720" w:val="num"/>
        </w:tabs>
        <w:ind w:hanging="360" w:left="720"/>
      </w:pPr>
      <w:rPr>
        <w:rFonts w:ascii="Aptos SemiBold" w:hAnsi="Aptos SemiBold" w:hint="default"/>
        <w:color w:themeColor="text2" w:val="F37021"/>
      </w:rPr>
    </w:lvl>
    <w:lvl w:ilvl="2">
      <w:start w:val="1"/>
      <w:numFmt w:val="bullet"/>
      <w:pStyle w:val="ListBullet3"/>
      <w:lvlText w:val="▪"/>
      <w:lvlJc w:val="left"/>
      <w:pPr>
        <w:tabs>
          <w:tab w:pos="1080" w:val="num"/>
        </w:tabs>
        <w:ind w:hanging="360" w:left="1080"/>
      </w:pPr>
      <w:rPr>
        <w:rFonts w:ascii="Aptos SemiBold" w:hAnsi="Aptos SemiBold" w:hint="default"/>
        <w:color w:themeColor="text2" w:val="F37021"/>
      </w:rPr>
    </w:lvl>
    <w:lvl w:ilvl="3">
      <w:start w:val="1"/>
      <w:numFmt w:val="bullet"/>
      <w:pStyle w:val="ListBullet4"/>
      <w:lvlText w:val="–"/>
      <w:lvlJc w:val="left"/>
      <w:pPr>
        <w:tabs>
          <w:tab w:pos="1440" w:val="num"/>
        </w:tabs>
        <w:ind w:hanging="360" w:left="1440"/>
      </w:pPr>
      <w:rPr>
        <w:rFonts w:ascii="Aptos SemiBold" w:hAnsi="Aptos SemiBold" w:hint="default"/>
        <w:color w:themeColor="text2" w:val="F37021"/>
      </w:rPr>
    </w:lvl>
    <w:lvl w:ilvl="4">
      <w:start w:val="1"/>
      <w:numFmt w:val="bullet"/>
      <w:pStyle w:val="ListBullet5"/>
      <w:lvlText w:val="▪"/>
      <w:lvlJc w:val="left"/>
      <w:pPr>
        <w:tabs>
          <w:tab w:pos="1800" w:val="num"/>
        </w:tabs>
        <w:ind w:hanging="360" w:left="1800"/>
      </w:pPr>
      <w:rPr>
        <w:rFonts w:ascii="Aptos SemiBold" w:hAnsi="Aptos SemiBold" w:hint="default"/>
        <w:color w:themeColor="text2" w:val="F37021"/>
      </w:rPr>
    </w:lvl>
    <w:lvl w:ilvl="5">
      <w:start w:val="1"/>
      <w:numFmt w:val="none"/>
      <w:suff w:val="nothing"/>
      <w:lvlText w:val=""/>
      <w:lvlJc w:val="left"/>
      <w:pPr>
        <w:ind w:firstLine="0" w:left="0"/>
      </w:pPr>
      <w:rPr>
        <w:rFonts w:hint="default"/>
      </w:rPr>
    </w:lvl>
    <w:lvl w:ilvl="6">
      <w:start w:val="1"/>
      <w:numFmt w:val="none"/>
      <w:suff w:val="nothing"/>
      <w:lvlText w:val=""/>
      <w:lvlJc w:val="left"/>
      <w:pPr>
        <w:ind w:firstLine="0" w:left="0"/>
      </w:pPr>
      <w:rPr>
        <w:rFonts w:hint="default"/>
      </w:rPr>
    </w:lvl>
    <w:lvl w:ilvl="7">
      <w:start w:val="1"/>
      <w:numFmt w:val="none"/>
      <w:suff w:val="nothing"/>
      <w:lvlText w:val=""/>
      <w:lvlJc w:val="left"/>
      <w:pPr>
        <w:ind w:firstLine="0" w:left="0"/>
      </w:pPr>
      <w:rPr>
        <w:rFonts w:hint="default"/>
      </w:rPr>
    </w:lvl>
    <w:lvl w:ilvl="8">
      <w:start w:val="1"/>
      <w:numFmt w:val="none"/>
      <w:suff w:val="nothing"/>
      <w:lvlText w:val=""/>
      <w:lvlJc w:val="left"/>
      <w:pPr>
        <w:ind w:firstLine="0" w:left="0"/>
      </w:pPr>
      <w:rPr>
        <w:rFonts w:hint="default"/>
      </w:rPr>
    </w:lvl>
  </w:abstractNum>
  <w:abstractNum w15:restartNumberingAfterBreak="0" w:abstractNumId="11">
    <w:nsid w:val="0AF75A05"/>
    <w:multiLevelType w:val="multilevel"/>
    <w:tmpl w:val="DCF8C812"/>
    <w:lvl w:ilvl="0">
      <w:start w:val="1"/>
      <w:numFmt w:val="decimal"/>
      <w:lvlText w:val="%1."/>
      <w:lvlJc w:val="left"/>
      <w:pPr>
        <w:ind w:hanging="360" w:left="360"/>
      </w:pPr>
      <w:rPr>
        <w:rFonts w:hint="default"/>
        <w:color w:themeColor="accent2" w:val="AEAEAE"/>
      </w:rPr>
    </w:lvl>
    <w:lvl w:ilvl="1">
      <w:start w:val="1"/>
      <w:numFmt w:val="none"/>
      <w:lvlText w:val=""/>
      <w:lvlJc w:val="left"/>
      <w:pPr>
        <w:ind w:hanging="360" w:left="360"/>
      </w:pPr>
      <w:rPr>
        <w:rFonts w:hint="default"/>
      </w:rPr>
    </w:lvl>
    <w:lvl w:ilvl="2">
      <w:start w:val="1"/>
      <w:numFmt w:val="none"/>
      <w:lvlText w:val=""/>
      <w:lvlJc w:val="left"/>
      <w:pPr>
        <w:ind w:hanging="360" w:left="360"/>
      </w:pPr>
      <w:rPr>
        <w:rFonts w:hint="default"/>
      </w:rPr>
    </w:lvl>
    <w:lvl w:ilvl="3">
      <w:start w:val="1"/>
      <w:numFmt w:val="none"/>
      <w:lvlText w:val=""/>
      <w:lvlJc w:val="left"/>
      <w:pPr>
        <w:ind w:hanging="360" w:left="360"/>
      </w:pPr>
      <w:rPr>
        <w:rFonts w:hint="default"/>
      </w:rPr>
    </w:lvl>
    <w:lvl w:ilvl="4">
      <w:start w:val="1"/>
      <w:numFmt w:val="none"/>
      <w:lvlText w:val=""/>
      <w:lvlJc w:val="left"/>
      <w:pPr>
        <w:ind w:hanging="360" w:left="360"/>
      </w:pPr>
      <w:rPr>
        <w:rFonts w:hint="default"/>
      </w:rPr>
    </w:lvl>
    <w:lvl w:ilvl="5">
      <w:start w:val="1"/>
      <w:numFmt w:val="none"/>
      <w:lvlText w:val=""/>
      <w:lvlJc w:val="left"/>
      <w:pPr>
        <w:ind w:hanging="360" w:left="360"/>
      </w:pPr>
      <w:rPr>
        <w:rFonts w:hint="default"/>
      </w:rPr>
    </w:lvl>
    <w:lvl w:ilvl="6">
      <w:start w:val="1"/>
      <w:numFmt w:val="none"/>
      <w:lvlText w:val=""/>
      <w:lvlJc w:val="left"/>
      <w:pPr>
        <w:ind w:hanging="360" w:left="360"/>
      </w:pPr>
      <w:rPr>
        <w:rFonts w:hint="default"/>
      </w:rPr>
    </w:lvl>
    <w:lvl w:ilvl="7">
      <w:start w:val="1"/>
      <w:numFmt w:val="none"/>
      <w:lvlText w:val=""/>
      <w:lvlJc w:val="left"/>
      <w:pPr>
        <w:ind w:hanging="360" w:left="360"/>
      </w:pPr>
      <w:rPr>
        <w:rFonts w:hint="default"/>
      </w:rPr>
    </w:lvl>
    <w:lvl w:ilvl="8">
      <w:start w:val="1"/>
      <w:numFmt w:val="none"/>
      <w:lvlText w:val=""/>
      <w:lvlJc w:val="left"/>
      <w:pPr>
        <w:ind w:hanging="360" w:left="360"/>
      </w:pPr>
      <w:rPr>
        <w:rFonts w:hint="default"/>
      </w:rPr>
    </w:lvl>
  </w:abstractNum>
  <w:abstractNum w15:restartNumberingAfterBreak="0" w:abstractNumId="12">
    <w:nsid w:val="0EF05286"/>
    <w:multiLevelType w:val="hybridMultilevel"/>
    <w:tmpl w:val="6B32BB28"/>
    <w:lvl w:ilvl="0" w:tplc="8278A8DC">
      <w:start w:val="1"/>
      <w:numFmt w:val="decimal"/>
      <w:lvlText w:val="%1."/>
      <w:lvlJc w:val="left"/>
      <w:pPr>
        <w:ind w:hanging="360" w:left="720"/>
      </w:pPr>
    </w:lvl>
    <w:lvl w:ilvl="1" w:tplc="9648AE98">
      <w:start w:val="1"/>
      <w:numFmt w:val="decimal"/>
      <w:lvlText w:val="%2."/>
      <w:lvlJc w:val="left"/>
      <w:pPr>
        <w:ind w:hanging="360" w:left="720"/>
      </w:pPr>
    </w:lvl>
    <w:lvl w:ilvl="2" w:tplc="8C7A8A4E">
      <w:start w:val="1"/>
      <w:numFmt w:val="decimal"/>
      <w:lvlText w:val="%3."/>
      <w:lvlJc w:val="left"/>
      <w:pPr>
        <w:ind w:hanging="360" w:left="720"/>
      </w:pPr>
    </w:lvl>
    <w:lvl w:ilvl="3" w:tplc="49CEE7F4">
      <w:start w:val="1"/>
      <w:numFmt w:val="decimal"/>
      <w:lvlText w:val="%4."/>
      <w:lvlJc w:val="left"/>
      <w:pPr>
        <w:ind w:hanging="360" w:left="720"/>
      </w:pPr>
    </w:lvl>
    <w:lvl w:ilvl="4" w:tplc="2AF4235A">
      <w:start w:val="1"/>
      <w:numFmt w:val="decimal"/>
      <w:lvlText w:val="%5."/>
      <w:lvlJc w:val="left"/>
      <w:pPr>
        <w:ind w:hanging="360" w:left="720"/>
      </w:pPr>
    </w:lvl>
    <w:lvl w:ilvl="5" w:tplc="BC06B6C2">
      <w:start w:val="1"/>
      <w:numFmt w:val="decimal"/>
      <w:lvlText w:val="%6."/>
      <w:lvlJc w:val="left"/>
      <w:pPr>
        <w:ind w:hanging="360" w:left="720"/>
      </w:pPr>
    </w:lvl>
    <w:lvl w:ilvl="6" w:tplc="CFCEB13E">
      <w:start w:val="1"/>
      <w:numFmt w:val="decimal"/>
      <w:lvlText w:val="%7."/>
      <w:lvlJc w:val="left"/>
      <w:pPr>
        <w:ind w:hanging="360" w:left="720"/>
      </w:pPr>
    </w:lvl>
    <w:lvl w:ilvl="7" w:tplc="28C439D2">
      <w:start w:val="1"/>
      <w:numFmt w:val="decimal"/>
      <w:lvlText w:val="%8."/>
      <w:lvlJc w:val="left"/>
      <w:pPr>
        <w:ind w:hanging="360" w:left="720"/>
      </w:pPr>
    </w:lvl>
    <w:lvl w:ilvl="8" w:tplc="941A2360">
      <w:start w:val="1"/>
      <w:numFmt w:val="decimal"/>
      <w:lvlText w:val="%9."/>
      <w:lvlJc w:val="left"/>
      <w:pPr>
        <w:ind w:hanging="360" w:left="720"/>
      </w:pPr>
    </w:lvl>
  </w:abstractNum>
  <w:abstractNum w15:restartNumberingAfterBreak="0" w:abstractNumId="13">
    <w:nsid w:val="1FBA4A2D"/>
    <w:multiLevelType w:val="hybridMultilevel"/>
    <w:tmpl w:val="B8366280"/>
    <w:lvl w:ilvl="0" w:tplc="53E29752">
      <w:start w:val="1"/>
      <w:numFmt w:val="decimal"/>
      <w:lvlText w:val="%1."/>
      <w:lvlJc w:val="left"/>
      <w:pPr>
        <w:ind w:hanging="360" w:left="720"/>
      </w:pPr>
    </w:lvl>
    <w:lvl w:ilvl="1" w:tplc="A3D2462A">
      <w:start w:val="1"/>
      <w:numFmt w:val="decimal"/>
      <w:lvlText w:val="%2."/>
      <w:lvlJc w:val="left"/>
      <w:pPr>
        <w:ind w:hanging="360" w:left="720"/>
      </w:pPr>
    </w:lvl>
    <w:lvl w:ilvl="2" w:tplc="0DA24B44">
      <w:start w:val="1"/>
      <w:numFmt w:val="decimal"/>
      <w:lvlText w:val="%3."/>
      <w:lvlJc w:val="left"/>
      <w:pPr>
        <w:ind w:hanging="360" w:left="720"/>
      </w:pPr>
    </w:lvl>
    <w:lvl w:ilvl="3" w:tplc="E15E9016">
      <w:start w:val="1"/>
      <w:numFmt w:val="decimal"/>
      <w:lvlText w:val="%4."/>
      <w:lvlJc w:val="left"/>
      <w:pPr>
        <w:ind w:hanging="360" w:left="720"/>
      </w:pPr>
    </w:lvl>
    <w:lvl w:ilvl="4" w:tplc="2F68F6BA">
      <w:start w:val="1"/>
      <w:numFmt w:val="decimal"/>
      <w:lvlText w:val="%5."/>
      <w:lvlJc w:val="left"/>
      <w:pPr>
        <w:ind w:hanging="360" w:left="720"/>
      </w:pPr>
    </w:lvl>
    <w:lvl w:ilvl="5" w:tplc="C354ED1E">
      <w:start w:val="1"/>
      <w:numFmt w:val="decimal"/>
      <w:lvlText w:val="%6."/>
      <w:lvlJc w:val="left"/>
      <w:pPr>
        <w:ind w:hanging="360" w:left="720"/>
      </w:pPr>
    </w:lvl>
    <w:lvl w:ilvl="6" w:tplc="514A065A">
      <w:start w:val="1"/>
      <w:numFmt w:val="decimal"/>
      <w:lvlText w:val="%7."/>
      <w:lvlJc w:val="left"/>
      <w:pPr>
        <w:ind w:hanging="360" w:left="720"/>
      </w:pPr>
    </w:lvl>
    <w:lvl w:ilvl="7" w:tplc="1422D3F2">
      <w:start w:val="1"/>
      <w:numFmt w:val="decimal"/>
      <w:lvlText w:val="%8."/>
      <w:lvlJc w:val="left"/>
      <w:pPr>
        <w:ind w:hanging="360" w:left="720"/>
      </w:pPr>
    </w:lvl>
    <w:lvl w:ilvl="8" w:tplc="80DAC356">
      <w:start w:val="1"/>
      <w:numFmt w:val="decimal"/>
      <w:lvlText w:val="%9."/>
      <w:lvlJc w:val="left"/>
      <w:pPr>
        <w:ind w:hanging="360" w:left="720"/>
      </w:pPr>
    </w:lvl>
  </w:abstractNum>
  <w:abstractNum w15:restartNumberingAfterBreak="0" w:abstractNumId="14">
    <w:nsid w:val="25567F41"/>
    <w:multiLevelType w:val="hybridMultilevel"/>
    <w:tmpl w:val="8B1AE702"/>
    <w:lvl w:ilvl="0" w:tplc="B61026FA">
      <w:start w:val="1"/>
      <w:numFmt w:val="decimal"/>
      <w:lvlText w:val="%1."/>
      <w:lvlJc w:val="left"/>
      <w:pPr>
        <w:ind w:hanging="360" w:left="720"/>
      </w:pPr>
    </w:lvl>
    <w:lvl w:ilvl="1" w:tplc="C63A4A18">
      <w:start w:val="1"/>
      <w:numFmt w:val="decimal"/>
      <w:lvlText w:val="%2."/>
      <w:lvlJc w:val="left"/>
      <w:pPr>
        <w:ind w:hanging="360" w:left="720"/>
      </w:pPr>
    </w:lvl>
    <w:lvl w:ilvl="2" w:tplc="0FDA790E">
      <w:start w:val="1"/>
      <w:numFmt w:val="decimal"/>
      <w:lvlText w:val="%3."/>
      <w:lvlJc w:val="left"/>
      <w:pPr>
        <w:ind w:hanging="360" w:left="720"/>
      </w:pPr>
    </w:lvl>
    <w:lvl w:ilvl="3" w:tplc="765AC4AE">
      <w:start w:val="1"/>
      <w:numFmt w:val="decimal"/>
      <w:lvlText w:val="%4."/>
      <w:lvlJc w:val="left"/>
      <w:pPr>
        <w:ind w:hanging="360" w:left="720"/>
      </w:pPr>
    </w:lvl>
    <w:lvl w:ilvl="4" w:tplc="ECE82ACE">
      <w:start w:val="1"/>
      <w:numFmt w:val="decimal"/>
      <w:lvlText w:val="%5."/>
      <w:lvlJc w:val="left"/>
      <w:pPr>
        <w:ind w:hanging="360" w:left="720"/>
      </w:pPr>
    </w:lvl>
    <w:lvl w:ilvl="5" w:tplc="6A40941E">
      <w:start w:val="1"/>
      <w:numFmt w:val="decimal"/>
      <w:lvlText w:val="%6."/>
      <w:lvlJc w:val="left"/>
      <w:pPr>
        <w:ind w:hanging="360" w:left="720"/>
      </w:pPr>
    </w:lvl>
    <w:lvl w:ilvl="6" w:tplc="E4D0B08A">
      <w:start w:val="1"/>
      <w:numFmt w:val="decimal"/>
      <w:lvlText w:val="%7."/>
      <w:lvlJc w:val="left"/>
      <w:pPr>
        <w:ind w:hanging="360" w:left="720"/>
      </w:pPr>
    </w:lvl>
    <w:lvl w:ilvl="7" w:tplc="16763308">
      <w:start w:val="1"/>
      <w:numFmt w:val="decimal"/>
      <w:lvlText w:val="%8."/>
      <w:lvlJc w:val="left"/>
      <w:pPr>
        <w:ind w:hanging="360" w:left="720"/>
      </w:pPr>
    </w:lvl>
    <w:lvl w:ilvl="8" w:tplc="40848526">
      <w:start w:val="1"/>
      <w:numFmt w:val="decimal"/>
      <w:lvlText w:val="%9."/>
      <w:lvlJc w:val="left"/>
      <w:pPr>
        <w:ind w:hanging="360" w:left="720"/>
      </w:pPr>
    </w:lvl>
  </w:abstractNum>
  <w:abstractNum w15:restartNumberingAfterBreak="0" w:abstractNumId="15">
    <w:nsid w:val="26105DFC"/>
    <w:multiLevelType w:val="multilevel"/>
    <w:tmpl w:val="C54EBE22"/>
    <w:numStyleLink w:val="SRKBulletList"/>
  </w:abstractNum>
  <w:abstractNum w15:restartNumberingAfterBreak="0" w:abstractNumId="16">
    <w:nsid w:val="26AA78DC"/>
    <w:multiLevelType w:val="multilevel"/>
    <w:tmpl w:val="280EE35A"/>
    <w:styleLink w:val="CurrentList4"/>
    <w:lvl w:ilvl="0">
      <w:start w:val="1"/>
      <w:numFmt w:val="decimal"/>
      <w:lvlText w:val="%1."/>
      <w:lvlJc w:val="left"/>
      <w:pPr>
        <w:ind w:hanging="360" w:left="1440"/>
      </w:pPr>
      <w:rPr>
        <w:rFonts w:hint="default"/>
        <w:color w:themeColor="accent2" w:val="AEAEAE"/>
      </w:rPr>
    </w:lvl>
    <w:lvl w:ilvl="1">
      <w:start w:val="1"/>
      <w:numFmt w:val="none"/>
      <w:lvlText w:val=""/>
      <w:lvlJc w:val="left"/>
      <w:pPr>
        <w:ind w:hanging="360" w:left="1440"/>
      </w:pPr>
      <w:rPr>
        <w:rFonts w:hint="default"/>
      </w:rPr>
    </w:lvl>
    <w:lvl w:ilvl="2">
      <w:start w:val="1"/>
      <w:numFmt w:val="none"/>
      <w:lvlText w:val=""/>
      <w:lvlJc w:val="left"/>
      <w:pPr>
        <w:ind w:hanging="360" w:left="1440"/>
      </w:pPr>
      <w:rPr>
        <w:rFonts w:hint="default"/>
      </w:rPr>
    </w:lvl>
    <w:lvl w:ilvl="3">
      <w:start w:val="1"/>
      <w:numFmt w:val="none"/>
      <w:lvlText w:val=""/>
      <w:lvlJc w:val="left"/>
      <w:pPr>
        <w:ind w:hanging="360" w:left="1440"/>
      </w:pPr>
      <w:rPr>
        <w:rFonts w:hint="default"/>
      </w:rPr>
    </w:lvl>
    <w:lvl w:ilvl="4">
      <w:start w:val="1"/>
      <w:numFmt w:val="none"/>
      <w:lvlText w:val=""/>
      <w:lvlJc w:val="left"/>
      <w:pPr>
        <w:ind w:hanging="360" w:left="1440"/>
      </w:pPr>
      <w:rPr>
        <w:rFonts w:hint="default"/>
      </w:rPr>
    </w:lvl>
    <w:lvl w:ilvl="5">
      <w:start w:val="1"/>
      <w:numFmt w:val="none"/>
      <w:lvlText w:val=""/>
      <w:lvlJc w:val="right"/>
      <w:pPr>
        <w:ind w:hanging="360" w:left="1440"/>
      </w:pPr>
      <w:rPr>
        <w:rFonts w:hint="default"/>
      </w:rPr>
    </w:lvl>
    <w:lvl w:ilvl="6">
      <w:start w:val="1"/>
      <w:numFmt w:val="none"/>
      <w:lvlText w:val=""/>
      <w:lvlJc w:val="left"/>
      <w:pPr>
        <w:ind w:hanging="360" w:left="1440"/>
      </w:pPr>
      <w:rPr>
        <w:rFonts w:hint="default"/>
      </w:rPr>
    </w:lvl>
    <w:lvl w:ilvl="7">
      <w:start w:val="1"/>
      <w:numFmt w:val="none"/>
      <w:lvlText w:val=""/>
      <w:lvlJc w:val="left"/>
      <w:pPr>
        <w:ind w:hanging="360" w:left="1440"/>
      </w:pPr>
      <w:rPr>
        <w:rFonts w:hint="default"/>
      </w:rPr>
    </w:lvl>
    <w:lvl w:ilvl="8">
      <w:start w:val="1"/>
      <w:numFmt w:val="none"/>
      <w:lvlText w:val=""/>
      <w:lvlJc w:val="right"/>
      <w:pPr>
        <w:ind w:hanging="360" w:left="1440"/>
      </w:pPr>
      <w:rPr>
        <w:rFonts w:hint="default"/>
      </w:rPr>
    </w:lvl>
  </w:abstractNum>
  <w:abstractNum w15:restartNumberingAfterBreak="0" w:abstractNumId="17">
    <w:nsid w:val="292E05C5"/>
    <w:multiLevelType w:val="multilevel"/>
    <w:tmpl w:val="176272B6"/>
    <w:styleLink w:val="SRKTableFootnotes"/>
    <w:lvl w:ilvl="0">
      <w:start w:val="1"/>
      <w:numFmt w:val="decimal"/>
      <w:pStyle w:val="TableFootnote"/>
      <w:lvlText w:val="%1."/>
      <w:lvlJc w:val="left"/>
      <w:pPr>
        <w:tabs>
          <w:tab w:pos="360" w:val="num"/>
        </w:tabs>
        <w:ind w:hanging="360" w:left="360"/>
      </w:pPr>
      <w:rPr>
        <w:rFonts w:hint="default"/>
        <w:color w:themeColor="text2" w:val="F37021"/>
      </w:rPr>
    </w:lvl>
    <w:lvl w:ilvl="1">
      <w:start w:val="1"/>
      <w:numFmt w:val="none"/>
      <w:lvlText w:val=""/>
      <w:lvlJc w:val="left"/>
      <w:pPr>
        <w:tabs>
          <w:tab w:pos="360" w:val="num"/>
        </w:tabs>
        <w:ind w:hanging="360" w:left="360"/>
      </w:pPr>
      <w:rPr>
        <w:rFonts w:hint="default"/>
      </w:rPr>
    </w:lvl>
    <w:lvl w:ilvl="2">
      <w:start w:val="1"/>
      <w:numFmt w:val="none"/>
      <w:lvlText w:val=""/>
      <w:lvlJc w:val="left"/>
      <w:pPr>
        <w:tabs>
          <w:tab w:pos="360" w:val="num"/>
        </w:tabs>
        <w:ind w:hanging="360" w:left="360"/>
      </w:pPr>
      <w:rPr>
        <w:rFonts w:hint="default"/>
      </w:rPr>
    </w:lvl>
    <w:lvl w:ilvl="3">
      <w:start w:val="1"/>
      <w:numFmt w:val="none"/>
      <w:lvlText w:val=""/>
      <w:lvlJc w:val="left"/>
      <w:pPr>
        <w:tabs>
          <w:tab w:pos="360" w:val="num"/>
        </w:tabs>
        <w:ind w:hanging="360" w:left="360"/>
      </w:pPr>
      <w:rPr>
        <w:rFonts w:hint="default"/>
      </w:rPr>
    </w:lvl>
    <w:lvl w:ilvl="4">
      <w:start w:val="1"/>
      <w:numFmt w:val="none"/>
      <w:lvlText w:val=""/>
      <w:lvlJc w:val="left"/>
      <w:pPr>
        <w:tabs>
          <w:tab w:pos="360" w:val="num"/>
        </w:tabs>
        <w:ind w:hanging="360" w:left="360"/>
      </w:pPr>
      <w:rPr>
        <w:rFonts w:hint="default"/>
      </w:rPr>
    </w:lvl>
    <w:lvl w:ilvl="5">
      <w:start w:val="1"/>
      <w:numFmt w:val="none"/>
      <w:lvlText w:val=""/>
      <w:lvlJc w:val="left"/>
      <w:pPr>
        <w:tabs>
          <w:tab w:pos="360" w:val="num"/>
        </w:tabs>
        <w:ind w:hanging="360" w:left="360"/>
      </w:pPr>
      <w:rPr>
        <w:rFonts w:hint="default"/>
      </w:rPr>
    </w:lvl>
    <w:lvl w:ilvl="6">
      <w:start w:val="1"/>
      <w:numFmt w:val="none"/>
      <w:lvlText w:val=""/>
      <w:lvlJc w:val="left"/>
      <w:pPr>
        <w:tabs>
          <w:tab w:pos="360" w:val="num"/>
        </w:tabs>
        <w:ind w:hanging="360" w:left="360"/>
      </w:pPr>
      <w:rPr>
        <w:rFonts w:hint="default"/>
      </w:rPr>
    </w:lvl>
    <w:lvl w:ilvl="7">
      <w:start w:val="1"/>
      <w:numFmt w:val="none"/>
      <w:lvlText w:val=""/>
      <w:lvlJc w:val="left"/>
      <w:pPr>
        <w:tabs>
          <w:tab w:pos="360" w:val="num"/>
        </w:tabs>
        <w:ind w:hanging="360" w:left="360"/>
      </w:pPr>
      <w:rPr>
        <w:rFonts w:hint="default"/>
      </w:rPr>
    </w:lvl>
    <w:lvl w:ilvl="8">
      <w:start w:val="1"/>
      <w:numFmt w:val="none"/>
      <w:lvlText w:val=""/>
      <w:lvlJc w:val="left"/>
      <w:pPr>
        <w:tabs>
          <w:tab w:pos="360" w:val="num"/>
        </w:tabs>
        <w:ind w:hanging="360" w:left="360"/>
      </w:pPr>
      <w:rPr>
        <w:rFonts w:hint="default"/>
      </w:rPr>
    </w:lvl>
  </w:abstractNum>
  <w:abstractNum w15:restartNumberingAfterBreak="0" w:abstractNumId="18">
    <w:nsid w:val="2FAC2485"/>
    <w:multiLevelType w:val="multilevel"/>
    <w:tmpl w:val="176272B6"/>
    <w:numStyleLink w:val="SRKTableFootnotes"/>
  </w:abstractNum>
  <w:abstractNum w15:restartNumberingAfterBreak="0" w:abstractNumId="19">
    <w:nsid w:val="34196550"/>
    <w:multiLevelType w:val="multilevel"/>
    <w:tmpl w:val="C0AE54D4"/>
    <w:styleLink w:val="CurrentList1"/>
    <w:lvl w:ilvl="0">
      <w:start w:val="1"/>
      <w:numFmt w:val="bullet"/>
      <w:lvlText w:val="▪"/>
      <w:lvlJc w:val="left"/>
      <w:pPr>
        <w:ind w:hanging="360" w:left="1440"/>
      </w:pPr>
      <w:rPr>
        <w:rFonts w:ascii="Aptos SemiBold" w:hAnsi="Aptos SemiBold" w:hint="default"/>
        <w:color w:themeColor="accent2" w:val="AEAEAE"/>
      </w:rPr>
    </w:lvl>
    <w:lvl w:ilvl="1">
      <w:start w:val="1"/>
      <w:numFmt w:val="bullet"/>
      <w:lvlText w:val="–"/>
      <w:lvlJc w:val="left"/>
      <w:pPr>
        <w:ind w:hanging="360" w:left="1800"/>
      </w:pPr>
      <w:rPr>
        <w:rFonts w:ascii="Aptos SemiBold" w:hAnsi="Aptos SemiBold" w:hint="default"/>
        <w:color w:themeColor="accent2" w:val="AEAEAE"/>
      </w:rPr>
    </w:lvl>
    <w:lvl w:ilvl="2">
      <w:start w:val="1"/>
      <w:numFmt w:val="bullet"/>
      <w:lvlText w:val="▪"/>
      <w:lvlJc w:val="left"/>
      <w:pPr>
        <w:ind w:hanging="360" w:left="2160"/>
      </w:pPr>
      <w:rPr>
        <w:rFonts w:ascii="Aptos SemiBold" w:hAnsi="Aptos SemiBold" w:hint="default"/>
        <w:color w:themeColor="accent2" w:val="AEAEAE"/>
      </w:rPr>
    </w:lvl>
    <w:lvl w:ilvl="3">
      <w:start w:val="1"/>
      <w:numFmt w:val="bullet"/>
      <w:lvlText w:val="–"/>
      <w:lvlJc w:val="left"/>
      <w:pPr>
        <w:ind w:hanging="360" w:left="2520"/>
      </w:pPr>
      <w:rPr>
        <w:rFonts w:ascii="Aptos SemiBold" w:hAnsi="Aptos SemiBold" w:hint="default"/>
        <w:color w:themeColor="accent2" w:val="AEAEAE"/>
      </w:rPr>
    </w:lvl>
    <w:lvl w:ilvl="4">
      <w:start w:val="1"/>
      <w:numFmt w:val="bullet"/>
      <w:lvlText w:val="▪"/>
      <w:lvlJc w:val="left"/>
      <w:pPr>
        <w:ind w:hanging="360" w:left="2880"/>
      </w:pPr>
      <w:rPr>
        <w:rFonts w:ascii="Aptos SemiBold" w:hAnsi="Aptos SemiBold" w:hint="default"/>
        <w:color w:themeColor="accent2" w:val="AEAEAE"/>
      </w:rPr>
    </w:lvl>
    <w:lvl w:ilvl="5">
      <w:start w:val="1"/>
      <w:numFmt w:val="none"/>
      <w:lvlText w:val=""/>
      <w:lvlJc w:val="left"/>
      <w:pPr>
        <w:ind w:hanging="360" w:left="3240"/>
      </w:pPr>
      <w:rPr>
        <w:rFonts w:hint="default"/>
      </w:rPr>
    </w:lvl>
    <w:lvl w:ilvl="6">
      <w:start w:val="1"/>
      <w:numFmt w:val="none"/>
      <w:lvlText w:val=""/>
      <w:lvlJc w:val="left"/>
      <w:pPr>
        <w:ind w:hanging="360" w:left="3600"/>
      </w:pPr>
      <w:rPr>
        <w:rFonts w:hint="default"/>
      </w:rPr>
    </w:lvl>
    <w:lvl w:ilvl="7">
      <w:start w:val="1"/>
      <w:numFmt w:val="none"/>
      <w:lvlText w:val=""/>
      <w:lvlJc w:val="left"/>
      <w:pPr>
        <w:ind w:hanging="360" w:left="3960"/>
      </w:pPr>
      <w:rPr>
        <w:rFonts w:hint="default"/>
      </w:rPr>
    </w:lvl>
    <w:lvl w:ilvl="8">
      <w:start w:val="1"/>
      <w:numFmt w:val="none"/>
      <w:lvlText w:val=""/>
      <w:lvlJc w:val="left"/>
      <w:pPr>
        <w:ind w:hanging="360" w:left="4320"/>
      </w:pPr>
      <w:rPr>
        <w:rFonts w:hint="default"/>
      </w:rPr>
    </w:lvl>
  </w:abstractNum>
  <w:abstractNum w15:restartNumberingAfterBreak="0" w:abstractNumId="20">
    <w:nsid w:val="39E00228"/>
    <w:multiLevelType w:val="multilevel"/>
    <w:tmpl w:val="24868AC4"/>
    <w:lvl w:ilvl="0">
      <w:start w:val="1"/>
      <w:numFmt w:val="bullet"/>
      <w:lvlText w:val="▪"/>
      <w:lvlJc w:val="left"/>
      <w:pPr>
        <w:ind w:hanging="360" w:left="1440"/>
      </w:pPr>
      <w:rPr>
        <w:rFonts w:ascii="Aptos SemiBold" w:hAnsi="Aptos SemiBold" w:hint="default"/>
        <w:color w:themeColor="accent2" w:val="AEAEAE"/>
      </w:rPr>
    </w:lvl>
    <w:lvl w:ilvl="1">
      <w:start w:val="1"/>
      <w:numFmt w:val="bullet"/>
      <w:lvlText w:val="–"/>
      <w:lvlJc w:val="left"/>
      <w:pPr>
        <w:ind w:hanging="360" w:left="1800"/>
      </w:pPr>
      <w:rPr>
        <w:rFonts w:ascii="Aptos SemiBold" w:hAnsi="Aptos SemiBold" w:hint="default"/>
        <w:color w:themeColor="accent2" w:val="AEAEAE"/>
      </w:rPr>
    </w:lvl>
    <w:lvl w:ilvl="2">
      <w:start w:val="1"/>
      <w:numFmt w:val="bullet"/>
      <w:lvlText w:val="▪"/>
      <w:lvlJc w:val="left"/>
      <w:pPr>
        <w:ind w:hanging="360" w:left="2160"/>
      </w:pPr>
      <w:rPr>
        <w:rFonts w:ascii="Aptos SemiBold" w:hAnsi="Aptos SemiBold" w:hint="default"/>
        <w:color w:themeColor="accent2" w:val="AEAEAE"/>
      </w:rPr>
    </w:lvl>
    <w:lvl w:ilvl="3">
      <w:start w:val="1"/>
      <w:numFmt w:val="bullet"/>
      <w:lvlText w:val="–"/>
      <w:lvlJc w:val="left"/>
      <w:pPr>
        <w:ind w:hanging="360" w:left="2520"/>
      </w:pPr>
      <w:rPr>
        <w:rFonts w:ascii="Aptos SemiBold" w:hAnsi="Aptos SemiBold" w:hint="default"/>
        <w:color w:themeColor="accent2" w:val="AEAEAE"/>
      </w:rPr>
    </w:lvl>
    <w:lvl w:ilvl="4">
      <w:start w:val="1"/>
      <w:numFmt w:val="bullet"/>
      <w:lvlText w:val="▪"/>
      <w:lvlJc w:val="left"/>
      <w:pPr>
        <w:ind w:hanging="360" w:left="2880"/>
      </w:pPr>
      <w:rPr>
        <w:rFonts w:ascii="Aptos SemiBold" w:hAnsi="Aptos SemiBold" w:hint="default"/>
        <w:color w:themeColor="accent2" w:val="AEAEAE"/>
      </w:rPr>
    </w:lvl>
    <w:lvl w:ilvl="5">
      <w:start w:val="1"/>
      <w:numFmt w:val="none"/>
      <w:lvlText w:val=""/>
      <w:lvlJc w:val="left"/>
      <w:pPr>
        <w:ind w:hanging="360" w:left="3240"/>
      </w:pPr>
      <w:rPr>
        <w:rFonts w:hint="default"/>
      </w:rPr>
    </w:lvl>
    <w:lvl w:ilvl="6">
      <w:start w:val="1"/>
      <w:numFmt w:val="none"/>
      <w:lvlText w:val=""/>
      <w:lvlJc w:val="left"/>
      <w:pPr>
        <w:ind w:hanging="360" w:left="3600"/>
      </w:pPr>
      <w:rPr>
        <w:rFonts w:hint="default"/>
      </w:rPr>
    </w:lvl>
    <w:lvl w:ilvl="7">
      <w:start w:val="1"/>
      <w:numFmt w:val="none"/>
      <w:lvlText w:val=""/>
      <w:lvlJc w:val="left"/>
      <w:pPr>
        <w:ind w:hanging="360" w:left="3960"/>
      </w:pPr>
      <w:rPr>
        <w:rFonts w:hint="default"/>
      </w:rPr>
    </w:lvl>
    <w:lvl w:ilvl="8">
      <w:start w:val="1"/>
      <w:numFmt w:val="none"/>
      <w:lvlText w:val=""/>
      <w:lvlJc w:val="left"/>
      <w:pPr>
        <w:ind w:hanging="360" w:left="4320"/>
      </w:pPr>
      <w:rPr>
        <w:rFonts w:hint="default"/>
      </w:rPr>
    </w:lvl>
  </w:abstractNum>
  <w:abstractNum w15:restartNumberingAfterBreak="0" w:abstractNumId="21">
    <w:nsid w:val="3A6F70D9"/>
    <w:multiLevelType w:val="hybridMultilevel"/>
    <w:tmpl w:val="034CDC6E"/>
    <w:lvl w:ilvl="0" w:tplc="03A2C670">
      <w:start w:val="1"/>
      <w:numFmt w:val="decimal"/>
      <w:lvlText w:val="%1."/>
      <w:lvlJc w:val="left"/>
      <w:pPr>
        <w:ind w:hanging="360" w:left="720"/>
      </w:pPr>
    </w:lvl>
    <w:lvl w:ilvl="1" w:tplc="5E7C4B2C">
      <w:start w:val="1"/>
      <w:numFmt w:val="decimal"/>
      <w:lvlText w:val="%2."/>
      <w:lvlJc w:val="left"/>
      <w:pPr>
        <w:ind w:hanging="360" w:left="720"/>
      </w:pPr>
    </w:lvl>
    <w:lvl w:ilvl="2" w:tplc="2B36462C">
      <w:start w:val="1"/>
      <w:numFmt w:val="decimal"/>
      <w:lvlText w:val="%3."/>
      <w:lvlJc w:val="left"/>
      <w:pPr>
        <w:ind w:hanging="360" w:left="720"/>
      </w:pPr>
    </w:lvl>
    <w:lvl w:ilvl="3" w:tplc="9546016C">
      <w:start w:val="1"/>
      <w:numFmt w:val="decimal"/>
      <w:lvlText w:val="%4."/>
      <w:lvlJc w:val="left"/>
      <w:pPr>
        <w:ind w:hanging="360" w:left="720"/>
      </w:pPr>
    </w:lvl>
    <w:lvl w:ilvl="4" w:tplc="E048E620">
      <w:start w:val="1"/>
      <w:numFmt w:val="decimal"/>
      <w:lvlText w:val="%5."/>
      <w:lvlJc w:val="left"/>
      <w:pPr>
        <w:ind w:hanging="360" w:left="720"/>
      </w:pPr>
    </w:lvl>
    <w:lvl w:ilvl="5" w:tplc="F828C000">
      <w:start w:val="1"/>
      <w:numFmt w:val="decimal"/>
      <w:lvlText w:val="%6."/>
      <w:lvlJc w:val="left"/>
      <w:pPr>
        <w:ind w:hanging="360" w:left="720"/>
      </w:pPr>
    </w:lvl>
    <w:lvl w:ilvl="6" w:tplc="73CCB68A">
      <w:start w:val="1"/>
      <w:numFmt w:val="decimal"/>
      <w:lvlText w:val="%7."/>
      <w:lvlJc w:val="left"/>
      <w:pPr>
        <w:ind w:hanging="360" w:left="720"/>
      </w:pPr>
    </w:lvl>
    <w:lvl w:ilvl="7" w:tplc="5D7CBC66">
      <w:start w:val="1"/>
      <w:numFmt w:val="decimal"/>
      <w:lvlText w:val="%8."/>
      <w:lvlJc w:val="left"/>
      <w:pPr>
        <w:ind w:hanging="360" w:left="720"/>
      </w:pPr>
    </w:lvl>
    <w:lvl w:ilvl="8" w:tplc="0AFEF98C">
      <w:start w:val="1"/>
      <w:numFmt w:val="decimal"/>
      <w:lvlText w:val="%9."/>
      <w:lvlJc w:val="left"/>
      <w:pPr>
        <w:ind w:hanging="360" w:left="720"/>
      </w:pPr>
    </w:lvl>
  </w:abstractNum>
  <w:abstractNum w15:restartNumberingAfterBreak="0" w:abstractNumId="22">
    <w:nsid w:val="3EE35ABB"/>
    <w:multiLevelType w:val="multilevel"/>
    <w:tmpl w:val="176272B6"/>
    <w:numStyleLink w:val="SRKTableFootnotes"/>
  </w:abstractNum>
  <w:abstractNum w15:restartNumberingAfterBreak="0" w:abstractNumId="23">
    <w:nsid w:val="403D34D3"/>
    <w:multiLevelType w:val="multilevel"/>
    <w:tmpl w:val="49B888CC"/>
    <w:lvl w:ilvl="0">
      <w:start w:val="1"/>
      <w:numFmt w:val="decimal"/>
      <w:pStyle w:val="TableNumberList"/>
      <w:lvlText w:val="%1."/>
      <w:lvlJc w:val="left"/>
      <w:pPr>
        <w:ind w:hanging="288" w:left="288"/>
      </w:pPr>
      <w:rPr>
        <w:rFonts w:hint="default"/>
      </w:rPr>
    </w:lvl>
    <w:lvl w:ilvl="1">
      <w:start w:val="1"/>
      <w:numFmt w:val="lowerLetter"/>
      <w:pStyle w:val="TableNumberList2"/>
      <w:lvlText w:val="%2."/>
      <w:lvlJc w:val="left"/>
      <w:pPr>
        <w:ind w:hanging="288" w:left="576"/>
      </w:pPr>
      <w:rPr>
        <w:rFonts w:hint="default"/>
      </w:rPr>
    </w:lvl>
    <w:lvl w:ilvl="2">
      <w:start w:val="1"/>
      <w:numFmt w:val="decimal"/>
      <w:pStyle w:val="TableNumberList3"/>
      <w:lvlText w:val="%3."/>
      <w:lvlJc w:val="left"/>
      <w:pPr>
        <w:ind w:hanging="288" w:left="864"/>
      </w:pPr>
      <w:rPr>
        <w:rFonts w:hint="default"/>
      </w:rPr>
    </w:lvl>
    <w:lvl w:ilvl="3">
      <w:start w:val="1"/>
      <w:numFmt w:val="none"/>
      <w:lvlText w:val=""/>
      <w:lvlJc w:val="left"/>
      <w:pPr>
        <w:ind w:hanging="288" w:left="864"/>
      </w:pPr>
      <w:rPr>
        <w:rFonts w:hint="default"/>
      </w:rPr>
    </w:lvl>
    <w:lvl w:ilvl="4">
      <w:start w:val="1"/>
      <w:numFmt w:val="none"/>
      <w:lvlText w:val=""/>
      <w:lvlJc w:val="left"/>
      <w:pPr>
        <w:ind w:hanging="288" w:left="864"/>
      </w:pPr>
      <w:rPr>
        <w:rFonts w:hint="default"/>
      </w:rPr>
    </w:lvl>
    <w:lvl w:ilvl="5">
      <w:start w:val="1"/>
      <w:numFmt w:val="none"/>
      <w:lvlText w:val=""/>
      <w:lvlJc w:val="left"/>
      <w:pPr>
        <w:ind w:hanging="288" w:left="864"/>
      </w:pPr>
      <w:rPr>
        <w:rFonts w:hint="default"/>
      </w:rPr>
    </w:lvl>
    <w:lvl w:ilvl="6">
      <w:start w:val="1"/>
      <w:numFmt w:val="none"/>
      <w:lvlText w:val=""/>
      <w:lvlJc w:val="left"/>
      <w:pPr>
        <w:ind w:hanging="288" w:left="864"/>
      </w:pPr>
      <w:rPr>
        <w:rFonts w:hint="default"/>
      </w:rPr>
    </w:lvl>
    <w:lvl w:ilvl="7">
      <w:start w:val="1"/>
      <w:numFmt w:val="none"/>
      <w:lvlText w:val=""/>
      <w:lvlJc w:val="left"/>
      <w:pPr>
        <w:ind w:hanging="288" w:left="864"/>
      </w:pPr>
      <w:rPr>
        <w:rFonts w:hint="default"/>
      </w:rPr>
    </w:lvl>
    <w:lvl w:ilvl="8">
      <w:start w:val="1"/>
      <w:numFmt w:val="none"/>
      <w:lvlText w:val=""/>
      <w:lvlJc w:val="left"/>
      <w:pPr>
        <w:ind w:hanging="288" w:left="864"/>
      </w:pPr>
      <w:rPr>
        <w:rFonts w:hint="default"/>
      </w:rPr>
    </w:lvl>
  </w:abstractNum>
  <w:abstractNum w15:restartNumberingAfterBreak="0" w:abstractNumId="24">
    <w:nsid w:val="42F33629"/>
    <w:multiLevelType w:val="multilevel"/>
    <w:tmpl w:val="7F30ECA4"/>
    <w:styleLink w:val="CurrentList5"/>
    <w:lvl w:ilvl="0">
      <w:start w:val="1"/>
      <w:numFmt w:val="decimal"/>
      <w:lvlText w:val="%1."/>
      <w:lvlJc w:val="left"/>
      <w:pPr>
        <w:ind w:hanging="360" w:left="360"/>
      </w:pPr>
      <w:rPr>
        <w:rFonts w:hint="default"/>
        <w:color w:themeColor="accent2" w:val="AEAEAE"/>
      </w:rPr>
    </w:lvl>
    <w:lvl w:ilvl="1">
      <w:start w:val="1"/>
      <w:numFmt w:val="none"/>
      <w:lvlText w:val=""/>
      <w:lvlJc w:val="left"/>
      <w:pPr>
        <w:ind w:hanging="360" w:left="360"/>
      </w:pPr>
      <w:rPr>
        <w:rFonts w:hint="default"/>
      </w:rPr>
    </w:lvl>
    <w:lvl w:ilvl="2">
      <w:start w:val="1"/>
      <w:numFmt w:val="none"/>
      <w:lvlText w:val=""/>
      <w:lvlJc w:val="left"/>
      <w:pPr>
        <w:ind w:hanging="360" w:left="360"/>
      </w:pPr>
      <w:rPr>
        <w:rFonts w:hint="default"/>
      </w:rPr>
    </w:lvl>
    <w:lvl w:ilvl="3">
      <w:start w:val="1"/>
      <w:numFmt w:val="none"/>
      <w:lvlText w:val=""/>
      <w:lvlJc w:val="left"/>
      <w:pPr>
        <w:ind w:hanging="360" w:left="360"/>
      </w:pPr>
      <w:rPr>
        <w:rFonts w:hint="default"/>
      </w:rPr>
    </w:lvl>
    <w:lvl w:ilvl="4">
      <w:start w:val="1"/>
      <w:numFmt w:val="none"/>
      <w:lvlText w:val=""/>
      <w:lvlJc w:val="left"/>
      <w:pPr>
        <w:ind w:hanging="360" w:left="360"/>
      </w:pPr>
      <w:rPr>
        <w:rFonts w:hint="default"/>
      </w:rPr>
    </w:lvl>
    <w:lvl w:ilvl="5">
      <w:start w:val="1"/>
      <w:numFmt w:val="none"/>
      <w:lvlText w:val=""/>
      <w:lvlJc w:val="left"/>
      <w:pPr>
        <w:ind w:hanging="360" w:left="360"/>
      </w:pPr>
      <w:rPr>
        <w:rFonts w:hint="default"/>
      </w:rPr>
    </w:lvl>
    <w:lvl w:ilvl="6">
      <w:start w:val="1"/>
      <w:numFmt w:val="none"/>
      <w:lvlText w:val=""/>
      <w:lvlJc w:val="left"/>
      <w:pPr>
        <w:ind w:hanging="360" w:left="360"/>
      </w:pPr>
      <w:rPr>
        <w:rFonts w:hint="default"/>
      </w:rPr>
    </w:lvl>
    <w:lvl w:ilvl="7">
      <w:start w:val="1"/>
      <w:numFmt w:val="none"/>
      <w:lvlText w:val=""/>
      <w:lvlJc w:val="left"/>
      <w:pPr>
        <w:ind w:hanging="360" w:left="360"/>
      </w:pPr>
      <w:rPr>
        <w:rFonts w:hint="default"/>
      </w:rPr>
    </w:lvl>
    <w:lvl w:ilvl="8">
      <w:start w:val="1"/>
      <w:numFmt w:val="none"/>
      <w:lvlText w:val=""/>
      <w:lvlJc w:val="left"/>
      <w:pPr>
        <w:ind w:hanging="360" w:left="360"/>
      </w:pPr>
      <w:rPr>
        <w:rFonts w:hint="default"/>
      </w:rPr>
    </w:lvl>
  </w:abstractNum>
  <w:abstractNum w15:restartNumberingAfterBreak="0" w:abstractNumId="25">
    <w:nsid w:val="49A513B0"/>
    <w:multiLevelType w:val="hybridMultilevel"/>
    <w:tmpl w:val="FA6472BC"/>
    <w:lvl w:ilvl="0" w:tplc="2862B7CE">
      <w:start w:val="1"/>
      <w:numFmt w:val="decimal"/>
      <w:lvlText w:val="%1."/>
      <w:lvlJc w:val="left"/>
      <w:pPr>
        <w:ind w:hanging="360" w:left="720"/>
      </w:pPr>
    </w:lvl>
    <w:lvl w:ilvl="1" w:tplc="F5BCBA42">
      <w:start w:val="1"/>
      <w:numFmt w:val="decimal"/>
      <w:lvlText w:val="%2."/>
      <w:lvlJc w:val="left"/>
      <w:pPr>
        <w:ind w:hanging="360" w:left="720"/>
      </w:pPr>
    </w:lvl>
    <w:lvl w:ilvl="2" w:tplc="F42E0B92">
      <w:start w:val="1"/>
      <w:numFmt w:val="decimal"/>
      <w:lvlText w:val="%3."/>
      <w:lvlJc w:val="left"/>
      <w:pPr>
        <w:ind w:hanging="360" w:left="720"/>
      </w:pPr>
    </w:lvl>
    <w:lvl w:ilvl="3" w:tplc="2398DD1C">
      <w:start w:val="1"/>
      <w:numFmt w:val="decimal"/>
      <w:lvlText w:val="%4."/>
      <w:lvlJc w:val="left"/>
      <w:pPr>
        <w:ind w:hanging="360" w:left="720"/>
      </w:pPr>
    </w:lvl>
    <w:lvl w:ilvl="4" w:tplc="26C0D72A">
      <w:start w:val="1"/>
      <w:numFmt w:val="decimal"/>
      <w:lvlText w:val="%5."/>
      <w:lvlJc w:val="left"/>
      <w:pPr>
        <w:ind w:hanging="360" w:left="720"/>
      </w:pPr>
    </w:lvl>
    <w:lvl w:ilvl="5" w:tplc="FDF08EDC">
      <w:start w:val="1"/>
      <w:numFmt w:val="decimal"/>
      <w:lvlText w:val="%6."/>
      <w:lvlJc w:val="left"/>
      <w:pPr>
        <w:ind w:hanging="360" w:left="720"/>
      </w:pPr>
    </w:lvl>
    <w:lvl w:ilvl="6" w:tplc="17F44372">
      <w:start w:val="1"/>
      <w:numFmt w:val="decimal"/>
      <w:lvlText w:val="%7."/>
      <w:lvlJc w:val="left"/>
      <w:pPr>
        <w:ind w:hanging="360" w:left="720"/>
      </w:pPr>
    </w:lvl>
    <w:lvl w:ilvl="7" w:tplc="EE3AB0DA">
      <w:start w:val="1"/>
      <w:numFmt w:val="decimal"/>
      <w:lvlText w:val="%8."/>
      <w:lvlJc w:val="left"/>
      <w:pPr>
        <w:ind w:hanging="360" w:left="720"/>
      </w:pPr>
    </w:lvl>
    <w:lvl w:ilvl="8" w:tplc="399C98E6">
      <w:start w:val="1"/>
      <w:numFmt w:val="decimal"/>
      <w:lvlText w:val="%9."/>
      <w:lvlJc w:val="left"/>
      <w:pPr>
        <w:ind w:hanging="360" w:left="720"/>
      </w:pPr>
    </w:lvl>
  </w:abstractNum>
  <w:abstractNum w15:restartNumberingAfterBreak="0" w:abstractNumId="26">
    <w:nsid w:val="4E695031"/>
    <w:multiLevelType w:val="multilevel"/>
    <w:tmpl w:val="C0AE54D4"/>
    <w:styleLink w:val="CurrentList2"/>
    <w:lvl w:ilvl="0">
      <w:start w:val="1"/>
      <w:numFmt w:val="bullet"/>
      <w:lvlText w:val="▪"/>
      <w:lvlJc w:val="left"/>
      <w:pPr>
        <w:ind w:hanging="360" w:left="1440"/>
      </w:pPr>
      <w:rPr>
        <w:rFonts w:ascii="Aptos SemiBold" w:hAnsi="Aptos SemiBold" w:hint="default"/>
        <w:color w:themeColor="accent2" w:val="AEAEAE"/>
      </w:rPr>
    </w:lvl>
    <w:lvl w:ilvl="1">
      <w:start w:val="1"/>
      <w:numFmt w:val="bullet"/>
      <w:lvlText w:val="–"/>
      <w:lvlJc w:val="left"/>
      <w:pPr>
        <w:ind w:hanging="360" w:left="1800"/>
      </w:pPr>
      <w:rPr>
        <w:rFonts w:ascii="Aptos SemiBold" w:hAnsi="Aptos SemiBold" w:hint="default"/>
        <w:color w:themeColor="accent2" w:val="AEAEAE"/>
      </w:rPr>
    </w:lvl>
    <w:lvl w:ilvl="2">
      <w:start w:val="1"/>
      <w:numFmt w:val="bullet"/>
      <w:lvlText w:val="▪"/>
      <w:lvlJc w:val="left"/>
      <w:pPr>
        <w:ind w:hanging="360" w:left="2160"/>
      </w:pPr>
      <w:rPr>
        <w:rFonts w:ascii="Aptos SemiBold" w:hAnsi="Aptos SemiBold" w:hint="default"/>
        <w:color w:themeColor="accent2" w:val="AEAEAE"/>
      </w:rPr>
    </w:lvl>
    <w:lvl w:ilvl="3">
      <w:start w:val="1"/>
      <w:numFmt w:val="bullet"/>
      <w:lvlText w:val="–"/>
      <w:lvlJc w:val="left"/>
      <w:pPr>
        <w:ind w:hanging="360" w:left="2520"/>
      </w:pPr>
      <w:rPr>
        <w:rFonts w:ascii="Aptos SemiBold" w:hAnsi="Aptos SemiBold" w:hint="default"/>
        <w:color w:themeColor="accent2" w:val="AEAEAE"/>
      </w:rPr>
    </w:lvl>
    <w:lvl w:ilvl="4">
      <w:start w:val="1"/>
      <w:numFmt w:val="bullet"/>
      <w:lvlText w:val="▪"/>
      <w:lvlJc w:val="left"/>
      <w:pPr>
        <w:ind w:hanging="360" w:left="2880"/>
      </w:pPr>
      <w:rPr>
        <w:rFonts w:ascii="Aptos SemiBold" w:hAnsi="Aptos SemiBold" w:hint="default"/>
        <w:color w:themeColor="accent2" w:val="AEAEAE"/>
      </w:rPr>
    </w:lvl>
    <w:lvl w:ilvl="5">
      <w:start w:val="1"/>
      <w:numFmt w:val="none"/>
      <w:lvlText w:val=""/>
      <w:lvlJc w:val="left"/>
      <w:pPr>
        <w:ind w:hanging="360" w:left="3240"/>
      </w:pPr>
      <w:rPr>
        <w:rFonts w:hint="default"/>
      </w:rPr>
    </w:lvl>
    <w:lvl w:ilvl="6">
      <w:start w:val="1"/>
      <w:numFmt w:val="none"/>
      <w:lvlText w:val=""/>
      <w:lvlJc w:val="left"/>
      <w:pPr>
        <w:ind w:hanging="360" w:left="3600"/>
      </w:pPr>
      <w:rPr>
        <w:rFonts w:hint="default"/>
      </w:rPr>
    </w:lvl>
    <w:lvl w:ilvl="7">
      <w:start w:val="1"/>
      <w:numFmt w:val="none"/>
      <w:lvlText w:val=""/>
      <w:lvlJc w:val="left"/>
      <w:pPr>
        <w:ind w:hanging="360" w:left="3960"/>
      </w:pPr>
      <w:rPr>
        <w:rFonts w:hint="default"/>
      </w:rPr>
    </w:lvl>
    <w:lvl w:ilvl="8">
      <w:start w:val="1"/>
      <w:numFmt w:val="none"/>
      <w:lvlText w:val=""/>
      <w:lvlJc w:val="left"/>
      <w:pPr>
        <w:ind w:hanging="360" w:left="4320"/>
      </w:pPr>
      <w:rPr>
        <w:rFonts w:hint="default"/>
      </w:rPr>
    </w:lvl>
  </w:abstractNum>
  <w:abstractNum w15:restartNumberingAfterBreak="0" w:abstractNumId="27">
    <w:nsid w:val="53104405"/>
    <w:multiLevelType w:val="hybridMultilevel"/>
    <w:tmpl w:val="8C90D7EC"/>
    <w:lvl w:ilvl="0" w:tplc="2DC40B16">
      <w:start w:val="1"/>
      <w:numFmt w:val="decimal"/>
      <w:lvlText w:val="%1."/>
      <w:lvlJc w:val="left"/>
      <w:pPr>
        <w:ind w:hanging="360" w:left="720"/>
      </w:pPr>
    </w:lvl>
    <w:lvl w:ilvl="1" w:tplc="AEB26708">
      <w:start w:val="1"/>
      <w:numFmt w:val="decimal"/>
      <w:lvlText w:val="%2."/>
      <w:lvlJc w:val="left"/>
      <w:pPr>
        <w:ind w:hanging="360" w:left="720"/>
      </w:pPr>
    </w:lvl>
    <w:lvl w:ilvl="2" w:tplc="14A451C8">
      <w:start w:val="1"/>
      <w:numFmt w:val="decimal"/>
      <w:lvlText w:val="%3."/>
      <w:lvlJc w:val="left"/>
      <w:pPr>
        <w:ind w:hanging="360" w:left="720"/>
      </w:pPr>
    </w:lvl>
    <w:lvl w:ilvl="3" w:tplc="FF38A6DE">
      <w:start w:val="1"/>
      <w:numFmt w:val="decimal"/>
      <w:lvlText w:val="%4."/>
      <w:lvlJc w:val="left"/>
      <w:pPr>
        <w:ind w:hanging="360" w:left="720"/>
      </w:pPr>
    </w:lvl>
    <w:lvl w:ilvl="4" w:tplc="FFFA9FB2">
      <w:start w:val="1"/>
      <w:numFmt w:val="decimal"/>
      <w:lvlText w:val="%5."/>
      <w:lvlJc w:val="left"/>
      <w:pPr>
        <w:ind w:hanging="360" w:left="720"/>
      </w:pPr>
    </w:lvl>
    <w:lvl w:ilvl="5" w:tplc="1968F3EC">
      <w:start w:val="1"/>
      <w:numFmt w:val="decimal"/>
      <w:lvlText w:val="%6."/>
      <w:lvlJc w:val="left"/>
      <w:pPr>
        <w:ind w:hanging="360" w:left="720"/>
      </w:pPr>
    </w:lvl>
    <w:lvl w:ilvl="6" w:tplc="4E0C9D28">
      <w:start w:val="1"/>
      <w:numFmt w:val="decimal"/>
      <w:lvlText w:val="%7."/>
      <w:lvlJc w:val="left"/>
      <w:pPr>
        <w:ind w:hanging="360" w:left="720"/>
      </w:pPr>
    </w:lvl>
    <w:lvl w:ilvl="7" w:tplc="8F52B3F8">
      <w:start w:val="1"/>
      <w:numFmt w:val="decimal"/>
      <w:lvlText w:val="%8."/>
      <w:lvlJc w:val="left"/>
      <w:pPr>
        <w:ind w:hanging="360" w:left="720"/>
      </w:pPr>
    </w:lvl>
    <w:lvl w:ilvl="8" w:tplc="DB8E55E4">
      <w:start w:val="1"/>
      <w:numFmt w:val="decimal"/>
      <w:lvlText w:val="%9."/>
      <w:lvlJc w:val="left"/>
      <w:pPr>
        <w:ind w:hanging="360" w:left="720"/>
      </w:pPr>
    </w:lvl>
  </w:abstractNum>
  <w:abstractNum w15:restartNumberingAfterBreak="0" w:abstractNumId="28">
    <w:nsid w:val="54760CD4"/>
    <w:multiLevelType w:val="hybridMultilevel"/>
    <w:tmpl w:val="B29A5EE8"/>
    <w:lvl w:ilvl="0" w:tplc="58C4E7DC">
      <w:start w:val="1"/>
      <w:numFmt w:val="decimal"/>
      <w:lvlText w:val="%1."/>
      <w:lvlJc w:val="left"/>
      <w:pPr>
        <w:ind w:hanging="360" w:left="720"/>
      </w:pPr>
    </w:lvl>
    <w:lvl w:ilvl="1" w:tplc="9ADC8DC0">
      <w:start w:val="1"/>
      <w:numFmt w:val="decimal"/>
      <w:lvlText w:val="%2."/>
      <w:lvlJc w:val="left"/>
      <w:pPr>
        <w:ind w:hanging="360" w:left="720"/>
      </w:pPr>
    </w:lvl>
    <w:lvl w:ilvl="2" w:tplc="91284F80">
      <w:start w:val="1"/>
      <w:numFmt w:val="decimal"/>
      <w:lvlText w:val="%3."/>
      <w:lvlJc w:val="left"/>
      <w:pPr>
        <w:ind w:hanging="360" w:left="720"/>
      </w:pPr>
    </w:lvl>
    <w:lvl w:ilvl="3" w:tplc="480ECBA0">
      <w:start w:val="1"/>
      <w:numFmt w:val="decimal"/>
      <w:lvlText w:val="%4."/>
      <w:lvlJc w:val="left"/>
      <w:pPr>
        <w:ind w:hanging="360" w:left="720"/>
      </w:pPr>
    </w:lvl>
    <w:lvl w:ilvl="4" w:tplc="394A1FDC">
      <w:start w:val="1"/>
      <w:numFmt w:val="decimal"/>
      <w:lvlText w:val="%5."/>
      <w:lvlJc w:val="left"/>
      <w:pPr>
        <w:ind w:hanging="360" w:left="720"/>
      </w:pPr>
    </w:lvl>
    <w:lvl w:ilvl="5" w:tplc="7B027956">
      <w:start w:val="1"/>
      <w:numFmt w:val="decimal"/>
      <w:lvlText w:val="%6."/>
      <w:lvlJc w:val="left"/>
      <w:pPr>
        <w:ind w:hanging="360" w:left="720"/>
      </w:pPr>
    </w:lvl>
    <w:lvl w:ilvl="6" w:tplc="39168CB8">
      <w:start w:val="1"/>
      <w:numFmt w:val="decimal"/>
      <w:lvlText w:val="%7."/>
      <w:lvlJc w:val="left"/>
      <w:pPr>
        <w:ind w:hanging="360" w:left="720"/>
      </w:pPr>
    </w:lvl>
    <w:lvl w:ilvl="7" w:tplc="E95044CE">
      <w:start w:val="1"/>
      <w:numFmt w:val="decimal"/>
      <w:lvlText w:val="%8."/>
      <w:lvlJc w:val="left"/>
      <w:pPr>
        <w:ind w:hanging="360" w:left="720"/>
      </w:pPr>
    </w:lvl>
    <w:lvl w:ilvl="8" w:tplc="0AD4BEDE">
      <w:start w:val="1"/>
      <w:numFmt w:val="decimal"/>
      <w:lvlText w:val="%9."/>
      <w:lvlJc w:val="left"/>
      <w:pPr>
        <w:ind w:hanging="360" w:left="720"/>
      </w:pPr>
    </w:lvl>
  </w:abstractNum>
  <w:abstractNum w15:restartNumberingAfterBreak="0" w:abstractNumId="29">
    <w:nsid w:val="554B737F"/>
    <w:multiLevelType w:val="multilevel"/>
    <w:tmpl w:val="09B0EE06"/>
    <w:lvl w:ilvl="0">
      <w:start w:val="1"/>
      <w:numFmt w:val="upperLetter"/>
      <w:pStyle w:val="Appx1Cover"/>
      <w:lvlText w:val="Appendix %1"/>
      <w:lvlJc w:val="left"/>
      <w:pPr>
        <w:ind w:hanging="2880" w:left="2880"/>
      </w:pPr>
      <w:rPr>
        <w:rFonts w:hint="default"/>
      </w:rPr>
    </w:lvl>
    <w:lvl w:ilvl="1">
      <w:start w:val="1"/>
      <w:numFmt w:val="decimal"/>
      <w:pStyle w:val="Appx2Cover"/>
      <w:lvlText w:val="Appendix %1.%2"/>
      <w:lvlJc w:val="left"/>
      <w:pPr>
        <w:ind w:hanging="2880" w:left="2880"/>
      </w:pPr>
      <w:rPr>
        <w:rFonts w:hint="default"/>
      </w:rPr>
    </w:lvl>
    <w:lvl w:ilvl="2">
      <w:start w:val="1"/>
      <w:numFmt w:val="none"/>
      <w:lvlText w:val=""/>
      <w:lvlJc w:val="left"/>
      <w:pPr>
        <w:ind w:firstLine="0" w:left="0"/>
      </w:pPr>
      <w:rPr>
        <w:rFonts w:hint="default"/>
      </w:rPr>
    </w:lvl>
    <w:lvl w:ilvl="3">
      <w:start w:val="1"/>
      <w:numFmt w:val="none"/>
      <w:lvlText w:val=""/>
      <w:lvlJc w:val="left"/>
      <w:pPr>
        <w:ind w:firstLine="0" w:left="0"/>
      </w:pPr>
      <w:rPr>
        <w:rFonts w:hint="default"/>
      </w:rPr>
    </w:lvl>
    <w:lvl w:ilvl="4">
      <w:start w:val="1"/>
      <w:numFmt w:val="none"/>
      <w:lvlText w:val=""/>
      <w:lvlJc w:val="left"/>
      <w:pPr>
        <w:ind w:firstLine="0" w:left="0"/>
      </w:pPr>
      <w:rPr>
        <w:rFonts w:hint="default"/>
      </w:rPr>
    </w:lvl>
    <w:lvl w:ilvl="5">
      <w:start w:val="1"/>
      <w:numFmt w:val="none"/>
      <w:lvlText w:val=""/>
      <w:lvlJc w:val="left"/>
      <w:pPr>
        <w:ind w:firstLine="0" w:left="0"/>
      </w:pPr>
      <w:rPr>
        <w:rFonts w:hint="default"/>
      </w:rPr>
    </w:lvl>
    <w:lvl w:ilvl="6">
      <w:start w:val="1"/>
      <w:numFmt w:val="none"/>
      <w:lvlText w:val=""/>
      <w:lvlJc w:val="left"/>
      <w:pPr>
        <w:ind w:firstLine="0" w:left="0"/>
      </w:pPr>
      <w:rPr>
        <w:rFonts w:hint="default"/>
      </w:rPr>
    </w:lvl>
    <w:lvl w:ilvl="7">
      <w:start w:val="1"/>
      <w:numFmt w:val="none"/>
      <w:lvlText w:val=""/>
      <w:lvlJc w:val="left"/>
      <w:pPr>
        <w:ind w:firstLine="0" w:left="0"/>
      </w:pPr>
      <w:rPr>
        <w:rFonts w:hint="default"/>
      </w:rPr>
    </w:lvl>
    <w:lvl w:ilvl="8">
      <w:start w:val="1"/>
      <w:numFmt w:val="none"/>
      <w:lvlText w:val=""/>
      <w:lvlJc w:val="left"/>
      <w:pPr>
        <w:ind w:firstLine="0" w:left="0"/>
      </w:pPr>
      <w:rPr>
        <w:rFonts w:hint="default"/>
      </w:rPr>
    </w:lvl>
  </w:abstractNum>
  <w:abstractNum w15:restartNumberingAfterBreak="0" w:abstractNumId="30">
    <w:nsid w:val="5B52312A"/>
    <w:multiLevelType w:val="multilevel"/>
    <w:tmpl w:val="CDA4BA36"/>
    <w:styleLink w:val="SRKTableFootnotesWide"/>
    <w:lvl w:ilvl="0">
      <w:start w:val="1"/>
      <w:numFmt w:val="decimal"/>
      <w:pStyle w:val="TableFootnoteWide"/>
      <w:lvlText w:val="%1."/>
      <w:lvlJc w:val="left"/>
      <w:pPr>
        <w:tabs>
          <w:tab w:pos="-1080" w:val="num"/>
        </w:tabs>
        <w:ind w:hanging="360" w:left="-1080"/>
      </w:pPr>
      <w:rPr>
        <w:rFonts w:hint="default"/>
        <w:color w:themeColor="text2" w:val="F37021"/>
      </w:rPr>
    </w:lvl>
    <w:lvl w:ilvl="1">
      <w:start w:val="1"/>
      <w:numFmt w:val="none"/>
      <w:lvlText w:val=""/>
      <w:lvlJc w:val="left"/>
      <w:pPr>
        <w:tabs>
          <w:tab w:pos="-1080" w:val="num"/>
        </w:tabs>
        <w:ind w:hanging="360" w:left="-1080"/>
      </w:pPr>
      <w:rPr>
        <w:rFonts w:hint="default"/>
      </w:rPr>
    </w:lvl>
    <w:lvl w:ilvl="2">
      <w:start w:val="1"/>
      <w:numFmt w:val="none"/>
      <w:lvlText w:val=""/>
      <w:lvlJc w:val="left"/>
      <w:pPr>
        <w:tabs>
          <w:tab w:pos="-1080" w:val="num"/>
        </w:tabs>
        <w:ind w:hanging="360" w:left="-1080"/>
      </w:pPr>
      <w:rPr>
        <w:rFonts w:hint="default"/>
      </w:rPr>
    </w:lvl>
    <w:lvl w:ilvl="3">
      <w:start w:val="1"/>
      <w:numFmt w:val="none"/>
      <w:lvlText w:val=""/>
      <w:lvlJc w:val="left"/>
      <w:pPr>
        <w:tabs>
          <w:tab w:pos="-1080" w:val="num"/>
        </w:tabs>
        <w:ind w:hanging="360" w:left="-1080"/>
      </w:pPr>
      <w:rPr>
        <w:rFonts w:hint="default"/>
      </w:rPr>
    </w:lvl>
    <w:lvl w:ilvl="4">
      <w:start w:val="1"/>
      <w:numFmt w:val="none"/>
      <w:lvlText w:val=""/>
      <w:lvlJc w:val="left"/>
      <w:pPr>
        <w:tabs>
          <w:tab w:pos="-1080" w:val="num"/>
        </w:tabs>
        <w:ind w:hanging="360" w:left="-1080"/>
      </w:pPr>
      <w:rPr>
        <w:rFonts w:hint="default"/>
      </w:rPr>
    </w:lvl>
    <w:lvl w:ilvl="5">
      <w:start w:val="1"/>
      <w:numFmt w:val="none"/>
      <w:lvlText w:val=""/>
      <w:lvlJc w:val="left"/>
      <w:pPr>
        <w:tabs>
          <w:tab w:pos="-1080" w:val="num"/>
        </w:tabs>
        <w:ind w:hanging="360" w:left="-1080"/>
      </w:pPr>
      <w:rPr>
        <w:rFonts w:hint="default"/>
      </w:rPr>
    </w:lvl>
    <w:lvl w:ilvl="6">
      <w:start w:val="1"/>
      <w:numFmt w:val="none"/>
      <w:lvlText w:val=""/>
      <w:lvlJc w:val="left"/>
      <w:pPr>
        <w:tabs>
          <w:tab w:pos="-1080" w:val="num"/>
        </w:tabs>
        <w:ind w:hanging="360" w:left="-1080"/>
      </w:pPr>
      <w:rPr>
        <w:rFonts w:hint="default"/>
      </w:rPr>
    </w:lvl>
    <w:lvl w:ilvl="7">
      <w:start w:val="1"/>
      <w:numFmt w:val="none"/>
      <w:lvlText w:val=""/>
      <w:lvlJc w:val="left"/>
      <w:pPr>
        <w:tabs>
          <w:tab w:pos="-1080" w:val="num"/>
        </w:tabs>
        <w:ind w:hanging="360" w:left="-1080"/>
      </w:pPr>
      <w:rPr>
        <w:rFonts w:hint="default"/>
      </w:rPr>
    </w:lvl>
    <w:lvl w:ilvl="8">
      <w:start w:val="1"/>
      <w:numFmt w:val="none"/>
      <w:lvlText w:val=""/>
      <w:lvlJc w:val="left"/>
      <w:pPr>
        <w:tabs>
          <w:tab w:pos="-1080" w:val="num"/>
        </w:tabs>
        <w:ind w:hanging="360" w:left="-1080"/>
      </w:pPr>
      <w:rPr>
        <w:rFonts w:hint="default"/>
      </w:rPr>
    </w:lvl>
  </w:abstractNum>
  <w:abstractNum w15:restartNumberingAfterBreak="0" w:abstractNumId="31">
    <w:nsid w:val="60B95CE3"/>
    <w:multiLevelType w:val="multilevel"/>
    <w:tmpl w:val="4BDE0F2A"/>
    <w:numStyleLink w:val="SRKNumberedList"/>
  </w:abstractNum>
  <w:abstractNum w15:restartNumberingAfterBreak="0" w:abstractNumId="32">
    <w:nsid w:val="67C83617"/>
    <w:multiLevelType w:val="multilevel"/>
    <w:tmpl w:val="4BDE0F2A"/>
    <w:styleLink w:val="SRKNumberedList"/>
    <w:lvl w:ilvl="0">
      <w:start w:val="1"/>
      <w:numFmt w:val="decimal"/>
      <w:pStyle w:val="ListNumber"/>
      <w:lvlText w:val="%1."/>
      <w:lvlJc w:val="left"/>
      <w:pPr>
        <w:tabs>
          <w:tab w:pos="360" w:val="num"/>
        </w:tabs>
        <w:ind w:hanging="360" w:left="360"/>
      </w:pPr>
      <w:rPr>
        <w:rFonts w:hint="default"/>
        <w:color w:themeColor="text2" w:val="F37021"/>
      </w:rPr>
    </w:lvl>
    <w:lvl w:ilvl="1">
      <w:start w:val="1"/>
      <w:numFmt w:val="lowerLetter"/>
      <w:pStyle w:val="ListNumber2"/>
      <w:lvlText w:val="%2."/>
      <w:lvlJc w:val="left"/>
      <w:pPr>
        <w:tabs>
          <w:tab w:pos="720" w:val="num"/>
        </w:tabs>
        <w:ind w:hanging="360" w:left="720"/>
      </w:pPr>
      <w:rPr>
        <w:rFonts w:hint="default"/>
        <w:color w:themeColor="text2" w:val="F37021"/>
      </w:rPr>
    </w:lvl>
    <w:lvl w:ilvl="2">
      <w:start w:val="1"/>
      <w:numFmt w:val="decimal"/>
      <w:pStyle w:val="ListNumber3"/>
      <w:lvlText w:val="%3."/>
      <w:lvlJc w:val="left"/>
      <w:pPr>
        <w:tabs>
          <w:tab w:pos="1080" w:val="num"/>
        </w:tabs>
        <w:ind w:hanging="360" w:left="1080"/>
      </w:pPr>
      <w:rPr>
        <w:rFonts w:hint="default"/>
        <w:color w:themeColor="text2" w:val="F37021"/>
      </w:rPr>
    </w:lvl>
    <w:lvl w:ilvl="3">
      <w:start w:val="1"/>
      <w:numFmt w:val="lowerLetter"/>
      <w:pStyle w:val="ListNumber4"/>
      <w:lvlText w:val="%4."/>
      <w:lvlJc w:val="left"/>
      <w:pPr>
        <w:tabs>
          <w:tab w:pos="1440" w:val="num"/>
        </w:tabs>
        <w:ind w:hanging="360" w:left="1440"/>
      </w:pPr>
      <w:rPr>
        <w:rFonts w:hint="default"/>
        <w:color w:themeColor="text2" w:val="F37021"/>
      </w:rPr>
    </w:lvl>
    <w:lvl w:ilvl="4">
      <w:start w:val="1"/>
      <w:numFmt w:val="lowerRoman"/>
      <w:pStyle w:val="ListNumber5"/>
      <w:lvlText w:val="%5."/>
      <w:lvlJc w:val="left"/>
      <w:pPr>
        <w:tabs>
          <w:tab w:pos="1800" w:val="num"/>
        </w:tabs>
        <w:ind w:hanging="360" w:left="1800"/>
      </w:pPr>
      <w:rPr>
        <w:rFonts w:hint="default"/>
        <w:color w:themeColor="text2" w:val="F37021"/>
      </w:rPr>
    </w:lvl>
    <w:lvl w:ilvl="5">
      <w:start w:val="1"/>
      <w:numFmt w:val="none"/>
      <w:suff w:val="nothing"/>
      <w:lvlText w:val=""/>
      <w:lvlJc w:val="left"/>
      <w:pPr>
        <w:ind w:firstLine="0" w:left="0"/>
      </w:pPr>
      <w:rPr>
        <w:rFonts w:hint="default"/>
      </w:rPr>
    </w:lvl>
    <w:lvl w:ilvl="6">
      <w:start w:val="1"/>
      <w:numFmt w:val="none"/>
      <w:suff w:val="nothing"/>
      <w:lvlText w:val=""/>
      <w:lvlJc w:val="left"/>
      <w:pPr>
        <w:ind w:firstLine="0" w:left="0"/>
      </w:pPr>
      <w:rPr>
        <w:rFonts w:hint="default"/>
      </w:rPr>
    </w:lvl>
    <w:lvl w:ilvl="7">
      <w:start w:val="1"/>
      <w:numFmt w:val="none"/>
      <w:suff w:val="nothing"/>
      <w:lvlText w:val=""/>
      <w:lvlJc w:val="left"/>
      <w:pPr>
        <w:ind w:firstLine="0" w:left="0"/>
      </w:pPr>
      <w:rPr>
        <w:rFonts w:hint="default"/>
      </w:rPr>
    </w:lvl>
    <w:lvl w:ilvl="8">
      <w:start w:val="1"/>
      <w:numFmt w:val="none"/>
      <w:suff w:val="nothing"/>
      <w:lvlText w:val=""/>
      <w:lvlJc w:val="left"/>
      <w:pPr>
        <w:ind w:firstLine="0" w:left="0"/>
      </w:pPr>
      <w:rPr>
        <w:rFonts w:hint="default"/>
      </w:rPr>
    </w:lvl>
  </w:abstractNum>
  <w:abstractNum w15:restartNumberingAfterBreak="0" w:abstractNumId="33">
    <w:nsid w:val="6BF74260"/>
    <w:multiLevelType w:val="multilevel"/>
    <w:tmpl w:val="A23C7580"/>
    <w:lvl w:ilvl="0">
      <w:start w:val="1"/>
      <w:numFmt w:val="bullet"/>
      <w:pStyle w:val="TableBulletList"/>
      <w:lvlText w:val="▪"/>
      <w:lvlJc w:val="left"/>
      <w:pPr>
        <w:ind w:hanging="173" w:left="173"/>
      </w:pPr>
      <w:rPr>
        <w:rFonts w:ascii="Aptos SemiBold" w:hAnsi="Aptos SemiBold" w:hint="default"/>
        <w:color w:val="auto"/>
      </w:rPr>
    </w:lvl>
    <w:lvl w:ilvl="1">
      <w:start w:val="1"/>
      <w:numFmt w:val="bullet"/>
      <w:pStyle w:val="TableBulletList2"/>
      <w:lvlText w:val="–"/>
      <w:lvlJc w:val="left"/>
      <w:pPr>
        <w:ind w:hanging="173" w:left="346"/>
      </w:pPr>
      <w:rPr>
        <w:rFonts w:ascii="Aptos SemiBold" w:hAnsi="Aptos SemiBold" w:hint="default"/>
        <w:color w:val="auto"/>
      </w:rPr>
    </w:lvl>
    <w:lvl w:ilvl="2">
      <w:start w:val="1"/>
      <w:numFmt w:val="bullet"/>
      <w:pStyle w:val="TableBulletList3"/>
      <w:lvlText w:val="▪"/>
      <w:lvlJc w:val="left"/>
      <w:pPr>
        <w:ind w:hanging="172" w:left="518"/>
      </w:pPr>
      <w:rPr>
        <w:rFonts w:ascii="Aptos SemiBold" w:hAnsi="Aptos SemiBold" w:hint="default"/>
        <w:color w:val="auto"/>
      </w:rPr>
    </w:lvl>
    <w:lvl w:ilvl="3">
      <w:start w:val="1"/>
      <w:numFmt w:val="none"/>
      <w:lvlText w:val=""/>
      <w:lvlJc w:val="left"/>
      <w:pPr>
        <w:ind w:hanging="172" w:left="518"/>
      </w:pPr>
      <w:rPr>
        <w:rFonts w:hint="default"/>
      </w:rPr>
    </w:lvl>
    <w:lvl w:ilvl="4">
      <w:start w:val="1"/>
      <w:numFmt w:val="none"/>
      <w:lvlText w:val=""/>
      <w:lvlJc w:val="left"/>
      <w:pPr>
        <w:ind w:hanging="172" w:left="518"/>
      </w:pPr>
      <w:rPr>
        <w:rFonts w:hint="default"/>
      </w:rPr>
    </w:lvl>
    <w:lvl w:ilvl="5">
      <w:start w:val="1"/>
      <w:numFmt w:val="none"/>
      <w:lvlText w:val=""/>
      <w:lvlJc w:val="left"/>
      <w:pPr>
        <w:ind w:hanging="172" w:left="518"/>
      </w:pPr>
      <w:rPr>
        <w:rFonts w:hint="default"/>
      </w:rPr>
    </w:lvl>
    <w:lvl w:ilvl="6">
      <w:start w:val="1"/>
      <w:numFmt w:val="none"/>
      <w:lvlText w:val=""/>
      <w:lvlJc w:val="left"/>
      <w:pPr>
        <w:ind w:hanging="172" w:left="518"/>
      </w:pPr>
      <w:rPr>
        <w:rFonts w:hint="default"/>
      </w:rPr>
    </w:lvl>
    <w:lvl w:ilvl="7">
      <w:start w:val="1"/>
      <w:numFmt w:val="none"/>
      <w:lvlText w:val=""/>
      <w:lvlJc w:val="left"/>
      <w:pPr>
        <w:ind w:hanging="172" w:left="518"/>
      </w:pPr>
      <w:rPr>
        <w:rFonts w:hint="default"/>
      </w:rPr>
    </w:lvl>
    <w:lvl w:ilvl="8">
      <w:start w:val="1"/>
      <w:numFmt w:val="none"/>
      <w:lvlText w:val=""/>
      <w:lvlJc w:val="left"/>
      <w:pPr>
        <w:ind w:hanging="172" w:left="518"/>
      </w:pPr>
      <w:rPr>
        <w:rFonts w:hint="default"/>
      </w:rPr>
    </w:lvl>
  </w:abstractNum>
  <w:abstractNum w15:restartNumberingAfterBreak="0" w:abstractNumId="34">
    <w:nsid w:val="6CAB38E6"/>
    <w:multiLevelType w:val="multilevel"/>
    <w:tmpl w:val="6A362C98"/>
    <w:lvl w:ilvl="0">
      <w:start w:val="1"/>
      <w:numFmt w:val="decimal"/>
      <w:lvlText w:val="%1."/>
      <w:lvlJc w:val="left"/>
      <w:pPr>
        <w:ind w:hanging="360" w:left="1440"/>
      </w:pPr>
      <w:rPr>
        <w:rFonts w:hint="default"/>
        <w:color w:themeColor="accent2" w:val="AEAEAE"/>
      </w:rPr>
    </w:lvl>
    <w:lvl w:ilvl="1">
      <w:start w:val="1"/>
      <w:numFmt w:val="lowerLetter"/>
      <w:lvlText w:val="%2."/>
      <w:lvlJc w:val="left"/>
      <w:pPr>
        <w:ind w:hanging="360" w:left="1800"/>
      </w:pPr>
      <w:rPr>
        <w:rFonts w:hint="default"/>
        <w:color w:themeColor="accent2" w:val="AEAEAE"/>
      </w:rPr>
    </w:lvl>
    <w:lvl w:ilvl="2">
      <w:start w:val="1"/>
      <w:numFmt w:val="decimal"/>
      <w:lvlText w:val="%3."/>
      <w:lvlJc w:val="left"/>
      <w:pPr>
        <w:ind w:hanging="360" w:left="2160"/>
      </w:pPr>
      <w:rPr>
        <w:rFonts w:hint="default"/>
        <w:color w:themeColor="accent2" w:val="AEAEAE"/>
      </w:rPr>
    </w:lvl>
    <w:lvl w:ilvl="3">
      <w:start w:val="1"/>
      <w:numFmt w:val="lowerLetter"/>
      <w:lvlText w:val="%4."/>
      <w:lvlJc w:val="left"/>
      <w:pPr>
        <w:ind w:hanging="360" w:left="2520"/>
      </w:pPr>
      <w:rPr>
        <w:rFonts w:hint="default"/>
        <w:color w:themeColor="accent2" w:val="AEAEAE"/>
      </w:rPr>
    </w:lvl>
    <w:lvl w:ilvl="4">
      <w:start w:val="1"/>
      <w:numFmt w:val="lowerRoman"/>
      <w:lvlText w:val="%5."/>
      <w:lvlJc w:val="left"/>
      <w:pPr>
        <w:ind w:hanging="360" w:left="2880"/>
      </w:pPr>
      <w:rPr>
        <w:rFonts w:hint="default"/>
        <w:color w:themeColor="accent2" w:val="AEAEAE"/>
      </w:rPr>
    </w:lvl>
    <w:lvl w:ilvl="5">
      <w:start w:val="1"/>
      <w:numFmt w:val="none"/>
      <w:lvlText w:val=""/>
      <w:lvlJc w:val="left"/>
      <w:pPr>
        <w:ind w:firstLine="720" w:left="2160"/>
      </w:pPr>
      <w:rPr>
        <w:rFonts w:hint="default"/>
      </w:rPr>
    </w:lvl>
    <w:lvl w:ilvl="6">
      <w:start w:val="1"/>
      <w:numFmt w:val="none"/>
      <w:lvlText w:val=""/>
      <w:lvlJc w:val="left"/>
      <w:pPr>
        <w:ind w:firstLine="720" w:left="2520"/>
      </w:pPr>
      <w:rPr>
        <w:rFonts w:hint="default"/>
      </w:rPr>
    </w:lvl>
    <w:lvl w:ilvl="7">
      <w:start w:val="1"/>
      <w:numFmt w:val="none"/>
      <w:lvlText w:val=""/>
      <w:lvlJc w:val="left"/>
      <w:pPr>
        <w:ind w:firstLine="720" w:left="2880"/>
      </w:pPr>
      <w:rPr>
        <w:rFonts w:hint="default"/>
      </w:rPr>
    </w:lvl>
    <w:lvl w:ilvl="8">
      <w:start w:val="1"/>
      <w:numFmt w:val="none"/>
      <w:lvlText w:val=""/>
      <w:lvlJc w:val="left"/>
      <w:pPr>
        <w:ind w:firstLine="720" w:left="3240"/>
      </w:pPr>
      <w:rPr>
        <w:rFonts w:hint="default"/>
      </w:rPr>
    </w:lvl>
  </w:abstractNum>
  <w:abstractNum w15:restartNumberingAfterBreak="0" w:abstractNumId="35">
    <w:nsid w:val="6D07621E"/>
    <w:multiLevelType w:val="multilevel"/>
    <w:tmpl w:val="2482FF18"/>
    <w:styleLink w:val="CurrentList3"/>
    <w:lvl w:ilvl="0">
      <w:start w:val="1"/>
      <w:numFmt w:val="decimal"/>
      <w:lvlText w:val="%1."/>
      <w:lvlJc w:val="left"/>
      <w:pPr>
        <w:ind w:hanging="360" w:left="1440"/>
      </w:pPr>
      <w:rPr>
        <w:rFonts w:hint="default"/>
        <w:color w:themeColor="accent2" w:val="AEAEAE"/>
      </w:rPr>
    </w:lvl>
    <w:lvl w:ilvl="1">
      <w:start w:val="1"/>
      <w:numFmt w:val="lowerLetter"/>
      <w:lvlText w:val="%2."/>
      <w:lvlJc w:val="left"/>
      <w:pPr>
        <w:ind w:hanging="360" w:left="1800"/>
      </w:pPr>
      <w:rPr>
        <w:rFonts w:hint="default"/>
        <w:color w:themeColor="accent2" w:val="AEAEAE"/>
      </w:rPr>
    </w:lvl>
    <w:lvl w:ilvl="2">
      <w:start w:val="1"/>
      <w:numFmt w:val="decimal"/>
      <w:lvlText w:val="%3."/>
      <w:lvlJc w:val="left"/>
      <w:pPr>
        <w:ind w:hanging="360" w:left="2160"/>
      </w:pPr>
      <w:rPr>
        <w:rFonts w:hint="default"/>
        <w:color w:themeColor="accent2" w:val="AEAEAE"/>
      </w:rPr>
    </w:lvl>
    <w:lvl w:ilvl="3">
      <w:start w:val="1"/>
      <w:numFmt w:val="lowerLetter"/>
      <w:lvlText w:val="%4."/>
      <w:lvlJc w:val="left"/>
      <w:pPr>
        <w:ind w:hanging="360" w:left="2520"/>
      </w:pPr>
      <w:rPr>
        <w:rFonts w:hint="default"/>
        <w:color w:themeColor="accent2" w:val="AEAEAE"/>
      </w:rPr>
    </w:lvl>
    <w:lvl w:ilvl="4">
      <w:start w:val="1"/>
      <w:numFmt w:val="lowerRoman"/>
      <w:lvlText w:val="%5."/>
      <w:lvlJc w:val="left"/>
      <w:pPr>
        <w:ind w:hanging="360" w:left="2880"/>
      </w:pPr>
      <w:rPr>
        <w:rFonts w:hint="default"/>
        <w:color w:themeColor="accent2" w:val="AEAEAE"/>
      </w:rPr>
    </w:lvl>
    <w:lvl w:ilvl="5">
      <w:start w:val="1"/>
      <w:numFmt w:val="none"/>
      <w:lvlText w:val=""/>
      <w:lvlJc w:val="left"/>
      <w:pPr>
        <w:ind w:firstLine="720" w:left="2160"/>
      </w:pPr>
      <w:rPr>
        <w:rFonts w:hint="default"/>
      </w:rPr>
    </w:lvl>
    <w:lvl w:ilvl="6">
      <w:start w:val="1"/>
      <w:numFmt w:val="none"/>
      <w:lvlText w:val=""/>
      <w:lvlJc w:val="left"/>
      <w:pPr>
        <w:ind w:firstLine="720" w:left="2520"/>
      </w:pPr>
      <w:rPr>
        <w:rFonts w:hint="default"/>
      </w:rPr>
    </w:lvl>
    <w:lvl w:ilvl="7">
      <w:start w:val="1"/>
      <w:numFmt w:val="none"/>
      <w:lvlText w:val=""/>
      <w:lvlJc w:val="left"/>
      <w:pPr>
        <w:ind w:firstLine="720" w:left="2880"/>
      </w:pPr>
      <w:rPr>
        <w:rFonts w:hint="default"/>
      </w:rPr>
    </w:lvl>
    <w:lvl w:ilvl="8">
      <w:start w:val="1"/>
      <w:numFmt w:val="none"/>
      <w:lvlText w:val=""/>
      <w:lvlJc w:val="left"/>
      <w:pPr>
        <w:ind w:firstLine="720" w:left="3240"/>
      </w:pPr>
      <w:rPr>
        <w:rFonts w:hint="default"/>
      </w:rPr>
    </w:lvl>
  </w:abstractNum>
  <w:abstractNum w15:restartNumberingAfterBreak="0" w:abstractNumId="36">
    <w:nsid w:val="6E3A7E32"/>
    <w:multiLevelType w:val="multilevel"/>
    <w:tmpl w:val="176272B6"/>
    <w:numStyleLink w:val="SRKTableFootnotes"/>
  </w:abstractNum>
  <w:abstractNum w15:restartNumberingAfterBreak="0" w:abstractNumId="37">
    <w:nsid w:val="70A365D2"/>
    <w:multiLevelType w:val="multilevel"/>
    <w:tmpl w:val="73748376"/>
    <w:numStyleLink w:val="SRKHeadings"/>
  </w:abstractNum>
  <w:abstractNum w15:restartNumberingAfterBreak="0" w:abstractNumId="38">
    <w:nsid w:val="70CD3390"/>
    <w:multiLevelType w:val="multilevel"/>
    <w:tmpl w:val="73748376"/>
    <w:styleLink w:val="SRKHeadings"/>
    <w:lvl w:ilvl="0">
      <w:start w:val="1"/>
      <w:numFmt w:val="decimal"/>
      <w:pStyle w:val="Heading1"/>
      <w:lvlText w:val="%1"/>
      <w:lvlJc w:val="left"/>
      <w:pPr>
        <w:tabs>
          <w:tab w:pos="0" w:val="num"/>
        </w:tabs>
        <w:ind w:hanging="1440" w:left="0"/>
      </w:pPr>
      <w:rPr>
        <w:rFonts w:hint="default"/>
      </w:rPr>
    </w:lvl>
    <w:lvl w:ilvl="1">
      <w:start w:val="1"/>
      <w:numFmt w:val="decimal"/>
      <w:pStyle w:val="Heading2"/>
      <w:lvlText w:val="%1.%2"/>
      <w:lvlJc w:val="left"/>
      <w:pPr>
        <w:tabs>
          <w:tab w:pos="0" w:val="num"/>
        </w:tabs>
        <w:ind w:hanging="1440" w:left="0"/>
      </w:pPr>
      <w:rPr>
        <w:rFonts w:hint="default"/>
      </w:rPr>
    </w:lvl>
    <w:lvl w:ilvl="2">
      <w:start w:val="1"/>
      <w:numFmt w:val="decimal"/>
      <w:pStyle w:val="Heading3"/>
      <w:lvlText w:val="%1.%2.%3"/>
      <w:lvlJc w:val="left"/>
      <w:pPr>
        <w:tabs>
          <w:tab w:pos="0" w:val="num"/>
        </w:tabs>
        <w:ind w:hanging="1440" w:left="0"/>
      </w:pPr>
      <w:rPr>
        <w:rFonts w:hint="default"/>
      </w:rPr>
    </w:lvl>
    <w:lvl w:ilvl="3">
      <w:start w:val="1"/>
      <w:numFmt w:val="none"/>
      <w:suff w:val="nothing"/>
      <w:lvlText w:val=""/>
      <w:lvlJc w:val="left"/>
      <w:pPr>
        <w:ind w:firstLine="0" w:left="0"/>
      </w:pPr>
      <w:rPr>
        <w:rFonts w:hint="default"/>
      </w:rPr>
    </w:lvl>
    <w:lvl w:ilvl="4">
      <w:start w:val="1"/>
      <w:numFmt w:val="none"/>
      <w:suff w:val="nothing"/>
      <w:lvlText w:val=""/>
      <w:lvlJc w:val="left"/>
      <w:pPr>
        <w:ind w:firstLine="0" w:left="0"/>
      </w:pPr>
      <w:rPr>
        <w:rFonts w:hint="default"/>
      </w:rPr>
    </w:lvl>
    <w:lvl w:ilvl="5">
      <w:start w:val="1"/>
      <w:numFmt w:val="none"/>
      <w:suff w:val="nothing"/>
      <w:lvlText w:val=""/>
      <w:lvlJc w:val="left"/>
      <w:pPr>
        <w:ind w:firstLine="0" w:left="0"/>
      </w:pPr>
      <w:rPr>
        <w:rFonts w:hint="default"/>
      </w:rPr>
    </w:lvl>
    <w:lvl w:ilvl="6">
      <w:start w:val="1"/>
      <w:numFmt w:val="none"/>
      <w:suff w:val="nothing"/>
      <w:lvlText w:val=""/>
      <w:lvlJc w:val="left"/>
      <w:pPr>
        <w:ind w:firstLine="0" w:left="0"/>
      </w:pPr>
      <w:rPr>
        <w:rFonts w:hint="default"/>
      </w:rPr>
    </w:lvl>
    <w:lvl w:ilvl="7">
      <w:start w:val="1"/>
      <w:numFmt w:val="none"/>
      <w:suff w:val="nothing"/>
      <w:lvlText w:val=""/>
      <w:lvlJc w:val="left"/>
      <w:pPr>
        <w:ind w:firstLine="0" w:left="0"/>
      </w:pPr>
      <w:rPr>
        <w:rFonts w:hint="default"/>
      </w:rPr>
    </w:lvl>
    <w:lvl w:ilvl="8">
      <w:start w:val="1"/>
      <w:numFmt w:val="none"/>
      <w:suff w:val="nothing"/>
      <w:lvlText w:val=""/>
      <w:lvlJc w:val="left"/>
      <w:pPr>
        <w:ind w:firstLine="0" w:left="0"/>
      </w:pPr>
      <w:rPr>
        <w:rFonts w:hint="default"/>
      </w:rPr>
    </w:lvl>
  </w:abstractNum>
  <w:abstractNum w15:restartNumberingAfterBreak="0" w:abstractNumId="39">
    <w:nsid w:val="790D2C35"/>
    <w:multiLevelType w:val="multilevel"/>
    <w:tmpl w:val="73748376"/>
    <w:numStyleLink w:val="SRKHeadings"/>
  </w:abstractNum>
  <w:abstractNum w15:restartNumberingAfterBreak="0" w:abstractNumId="40">
    <w:nsid w:val="7FD3114E"/>
    <w:multiLevelType w:val="multilevel"/>
    <w:tmpl w:val="CB0036FC"/>
    <w:lvl w:ilvl="0">
      <w:start w:val="1"/>
      <w:numFmt w:val="decimal"/>
      <w:lvlText w:val="%1."/>
      <w:lvlJc w:val="left"/>
      <w:pPr>
        <w:ind w:hanging="360" w:left="1440"/>
      </w:pPr>
      <w:rPr>
        <w:rFonts w:hint="default"/>
        <w:color w:themeColor="accent2" w:val="AEAEAE"/>
      </w:rPr>
    </w:lvl>
    <w:lvl w:ilvl="1">
      <w:start w:val="1"/>
      <w:numFmt w:val="none"/>
      <w:lvlText w:val=""/>
      <w:lvlJc w:val="left"/>
      <w:pPr>
        <w:ind w:hanging="360" w:left="1440"/>
      </w:pPr>
      <w:rPr>
        <w:rFonts w:hint="default"/>
      </w:rPr>
    </w:lvl>
    <w:lvl w:ilvl="2">
      <w:start w:val="1"/>
      <w:numFmt w:val="none"/>
      <w:lvlText w:val=""/>
      <w:lvlJc w:val="left"/>
      <w:pPr>
        <w:ind w:hanging="360" w:left="1440"/>
      </w:pPr>
      <w:rPr>
        <w:rFonts w:hint="default"/>
      </w:rPr>
    </w:lvl>
    <w:lvl w:ilvl="3">
      <w:start w:val="1"/>
      <w:numFmt w:val="none"/>
      <w:lvlText w:val=""/>
      <w:lvlJc w:val="left"/>
      <w:pPr>
        <w:ind w:hanging="360" w:left="1440"/>
      </w:pPr>
      <w:rPr>
        <w:rFonts w:hint="default"/>
      </w:rPr>
    </w:lvl>
    <w:lvl w:ilvl="4">
      <w:start w:val="1"/>
      <w:numFmt w:val="none"/>
      <w:lvlText w:val=""/>
      <w:lvlJc w:val="left"/>
      <w:pPr>
        <w:ind w:hanging="360" w:left="1440"/>
      </w:pPr>
      <w:rPr>
        <w:rFonts w:hint="default"/>
      </w:rPr>
    </w:lvl>
    <w:lvl w:ilvl="5">
      <w:start w:val="1"/>
      <w:numFmt w:val="none"/>
      <w:lvlText w:val=""/>
      <w:lvlJc w:val="right"/>
      <w:pPr>
        <w:ind w:hanging="360" w:left="1440"/>
      </w:pPr>
      <w:rPr>
        <w:rFonts w:hint="default"/>
      </w:rPr>
    </w:lvl>
    <w:lvl w:ilvl="6">
      <w:start w:val="1"/>
      <w:numFmt w:val="none"/>
      <w:lvlText w:val=""/>
      <w:lvlJc w:val="left"/>
      <w:pPr>
        <w:ind w:hanging="360" w:left="1440"/>
      </w:pPr>
      <w:rPr>
        <w:rFonts w:hint="default"/>
      </w:rPr>
    </w:lvl>
    <w:lvl w:ilvl="7">
      <w:start w:val="1"/>
      <w:numFmt w:val="none"/>
      <w:lvlText w:val=""/>
      <w:lvlJc w:val="left"/>
      <w:pPr>
        <w:ind w:hanging="360" w:left="1440"/>
      </w:pPr>
      <w:rPr>
        <w:rFonts w:hint="default"/>
      </w:rPr>
    </w:lvl>
    <w:lvl w:ilvl="8">
      <w:start w:val="1"/>
      <w:numFmt w:val="none"/>
      <w:lvlText w:val=""/>
      <w:lvlJc w:val="right"/>
      <w:pPr>
        <w:ind w:hanging="360" w:left="14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713386744" w:numId="1">
    <w:abstractNumId w:val="38"/>
  </w:num>
  <w:num w16cid:durableId="878665647" w:numId="2">
    <w:abstractNumId w:val="39"/>
  </w:num>
  <w:num w16cid:durableId="1231962909" w:numId="3">
    <w:abstractNumId w:val="37"/>
  </w:num>
  <w:num w16cid:durableId="160050212" w:numId="4">
    <w:abstractNumId w:val="9"/>
  </w:num>
  <w:num w16cid:durableId="398135216" w:numId="5">
    <w:abstractNumId w:val="20"/>
  </w:num>
  <w:num w16cid:durableId="1324627212" w:numId="6">
    <w:abstractNumId w:val="7"/>
  </w:num>
  <w:num w16cid:durableId="1492873082" w:numId="7">
    <w:abstractNumId w:val="20"/>
  </w:num>
  <w:num w16cid:durableId="997227361" w:numId="8">
    <w:abstractNumId w:val="6"/>
  </w:num>
  <w:num w16cid:durableId="1369836766" w:numId="9">
    <w:abstractNumId w:val="20"/>
  </w:num>
  <w:num w16cid:durableId="1560357199" w:numId="10">
    <w:abstractNumId w:val="5"/>
  </w:num>
  <w:num w16cid:durableId="1273901438" w:numId="11">
    <w:abstractNumId w:val="20"/>
  </w:num>
  <w:num w16cid:durableId="1244989116" w:numId="12">
    <w:abstractNumId w:val="4"/>
  </w:num>
  <w:num w16cid:durableId="1129013950" w:numId="13">
    <w:abstractNumId w:val="20"/>
  </w:num>
  <w:num w16cid:durableId="749082439" w:numId="14">
    <w:abstractNumId w:val="8"/>
  </w:num>
  <w:num w16cid:durableId="542639945" w:numId="15">
    <w:abstractNumId w:val="34"/>
  </w:num>
  <w:num w16cid:durableId="1056509168" w:numId="16">
    <w:abstractNumId w:val="3"/>
  </w:num>
  <w:num w16cid:durableId="786199644" w:numId="17">
    <w:abstractNumId w:val="34"/>
  </w:num>
  <w:num w16cid:durableId="246381128" w:numId="18">
    <w:abstractNumId w:val="2"/>
  </w:num>
  <w:num w16cid:durableId="1900942257" w:numId="19">
    <w:abstractNumId w:val="34"/>
  </w:num>
  <w:num w16cid:durableId="1483696824" w:numId="20">
    <w:abstractNumId w:val="1"/>
  </w:num>
  <w:num w16cid:durableId="300380012" w:numId="21">
    <w:abstractNumId w:val="34"/>
  </w:num>
  <w:num w16cid:durableId="109201859" w:numId="22">
    <w:abstractNumId w:val="0"/>
  </w:num>
  <w:num w16cid:durableId="1484812506" w:numId="23">
    <w:abstractNumId w:val="34"/>
  </w:num>
  <w:num w16cid:durableId="1910261790" w:numId="24">
    <w:abstractNumId w:val="19"/>
  </w:num>
  <w:num w16cid:durableId="925114191" w:numId="25">
    <w:abstractNumId w:val="26"/>
  </w:num>
  <w:num w16cid:durableId="1589725792" w:numId="26">
    <w:abstractNumId w:val="10"/>
  </w:num>
  <w:num w16cid:durableId="1075318188" w:numId="27">
    <w:abstractNumId w:val="15"/>
  </w:num>
  <w:num w16cid:durableId="1653369445" w:numId="28">
    <w:abstractNumId w:val="35"/>
  </w:num>
  <w:num w16cid:durableId="850338167" w:numId="29">
    <w:abstractNumId w:val="32"/>
  </w:num>
  <w:num w16cid:durableId="1446732381" w:numId="30">
    <w:abstractNumId w:val="31"/>
  </w:num>
  <w:num w16cid:durableId="900480705" w:numId="31">
    <w:abstractNumId w:val="33"/>
  </w:num>
  <w:num w16cid:durableId="968631135" w:numId="32">
    <w:abstractNumId w:val="33"/>
  </w:num>
  <w:num w16cid:durableId="807748336" w:numId="33">
    <w:abstractNumId w:val="33"/>
  </w:num>
  <w:num w16cid:durableId="595598100" w:numId="34">
    <w:abstractNumId w:val="40"/>
  </w:num>
  <w:num w16cid:durableId="1922788812" w:numId="35">
    <w:abstractNumId w:val="11"/>
  </w:num>
  <w:num w16cid:durableId="1808815864" w:numId="36">
    <w:abstractNumId w:val="23"/>
  </w:num>
  <w:num w16cid:durableId="711539597" w:numId="37">
    <w:abstractNumId w:val="23"/>
  </w:num>
  <w:num w16cid:durableId="1280840198" w:numId="38">
    <w:abstractNumId w:val="23"/>
  </w:num>
  <w:num w16cid:durableId="1667634837" w:numId="39">
    <w:abstractNumId w:val="17"/>
  </w:num>
  <w:num w16cid:durableId="1647661739" w:numId="40">
    <w:abstractNumId w:val="22"/>
  </w:num>
  <w:num w16cid:durableId="11810562" w:numId="41">
    <w:abstractNumId w:val="30"/>
  </w:num>
  <w:num w16cid:durableId="1623419802"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06061376" w:numId="43">
    <w:abstractNumId w:val="16"/>
  </w:num>
  <w:num w16cid:durableId="796336309" w:numId="44">
    <w:abstractNumId w:val="36"/>
  </w:num>
  <w:num w16cid:durableId="83766069" w:numId="45">
    <w:abstractNumId w:val="24"/>
  </w:num>
  <w:num w16cid:durableId="1202792247" w:numId="46">
    <w:abstractNumId w:val="18"/>
  </w:num>
  <w:num w16cid:durableId="186796074" w:numId="4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7208169" w:numId="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5916849" w:numId="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28524010" w:numId="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5506276" w:numId="5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53778441" w:numId="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99322204" w:numId="53">
    <w:abstractNumId w:val="29"/>
    <w:lvlOverride w:ilvl="0">
      <w:lvl w:ilvl="0">
        <w:start w:val="1"/>
        <w:numFmt w:val="upperLetter"/>
        <w:pStyle w:val="Appx1Cover"/>
        <w:lvlText w:val="Appendix %1"/>
        <w:lvlJc w:val="left"/>
        <w:pPr>
          <w:ind w:hanging="2880" w:left="2880"/>
        </w:pPr>
        <w:rPr>
          <w:rFonts w:hint="default"/>
        </w:rPr>
      </w:lvl>
    </w:lvlOverride>
  </w:num>
  <w:num w16cid:durableId="261377396" w:numId="54">
    <w:abstractNumId w:val="29"/>
    <w:lvlOverride w:ilvl="0">
      <w:lvl w:ilvl="0">
        <w:start w:val="1"/>
        <w:numFmt w:val="upperLetter"/>
        <w:pStyle w:val="Appx1Cover"/>
        <w:lvlText w:val="Appendix %1"/>
        <w:lvlJc w:val="left"/>
        <w:pPr>
          <w:ind w:hanging="2880" w:left="2880"/>
        </w:pPr>
      </w:lvl>
    </w:lvlOverride>
  </w:num>
  <w:num w16cid:durableId="1878617724" w:numId="55">
    <w:abstractNumId w:val="29"/>
    <w:lvlOverride w:ilvl="0">
      <w:lvl w:ilvl="0">
        <w:start w:val="1"/>
        <w:numFmt w:val="upperLetter"/>
        <w:pStyle w:val="Appx1Cover"/>
        <w:lvlText w:val="Appendix %1"/>
        <w:lvlJc w:val="left"/>
        <w:pPr>
          <w:ind w:hanging="2880" w:left="2880"/>
        </w:pPr>
        <w:rPr>
          <w:rFonts w:hint="default"/>
        </w:rPr>
      </w:lvl>
    </w:lvlOverride>
  </w:num>
  <w:num w16cid:durableId="1273977713" w:numId="56">
    <w:abstractNumId w:val="29"/>
  </w:num>
  <w:num w16cid:durableId="916208345" w:numId="57">
    <w:abstractNumId w:val="12"/>
  </w:num>
  <w:num w16cid:durableId="286468319" w:numId="58">
    <w:abstractNumId w:val="21"/>
  </w:num>
  <w:num w16cid:durableId="1271744174" w:numId="59">
    <w:abstractNumId w:val="27"/>
  </w:num>
  <w:num w16cid:durableId="1922444484" w:numId="60">
    <w:abstractNumId w:val="28"/>
  </w:num>
  <w:num w16cid:durableId="672491515" w:numId="61">
    <w:abstractNumId w:val="25"/>
  </w:num>
  <w:num w16cid:durableId="1044796548" w:numId="62">
    <w:abstractNumId w:val="14"/>
  </w:num>
  <w:num w16cid:durableId="681667462" w:numId="63">
    <w:abstractNumId w:val="13"/>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attachedTemplate r:id="rId1"/>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4B"/>
    <w:rsid w:val="00037B4C"/>
    <w:rsid w:val="000555AF"/>
    <w:rsid w:val="000563F3"/>
    <w:rsid w:val="00090B98"/>
    <w:rsid w:val="00092671"/>
    <w:rsid w:val="000A3DF4"/>
    <w:rsid w:val="000A6B3B"/>
    <w:rsid w:val="000C494A"/>
    <w:rsid w:val="000F0388"/>
    <w:rsid w:val="0013794B"/>
    <w:rsid w:val="00145610"/>
    <w:rsid w:val="00186747"/>
    <w:rsid w:val="001936BF"/>
    <w:rsid w:val="00196346"/>
    <w:rsid w:val="001E1D1B"/>
    <w:rsid w:val="001F05BE"/>
    <w:rsid w:val="00200BE5"/>
    <w:rsid w:val="00204AEE"/>
    <w:rsid w:val="00211510"/>
    <w:rsid w:val="00220326"/>
    <w:rsid w:val="00234786"/>
    <w:rsid w:val="00241653"/>
    <w:rsid w:val="00242D89"/>
    <w:rsid w:val="00244209"/>
    <w:rsid w:val="00265469"/>
    <w:rsid w:val="00276815"/>
    <w:rsid w:val="00277EF3"/>
    <w:rsid w:val="00290600"/>
    <w:rsid w:val="00294C91"/>
    <w:rsid w:val="002A735F"/>
    <w:rsid w:val="002C04C0"/>
    <w:rsid w:val="002E3038"/>
    <w:rsid w:val="002F282E"/>
    <w:rsid w:val="00301D78"/>
    <w:rsid w:val="00320579"/>
    <w:rsid w:val="003333CE"/>
    <w:rsid w:val="00336EE6"/>
    <w:rsid w:val="003454EE"/>
    <w:rsid w:val="00356B8B"/>
    <w:rsid w:val="003651DE"/>
    <w:rsid w:val="003741DB"/>
    <w:rsid w:val="003850F3"/>
    <w:rsid w:val="00391438"/>
    <w:rsid w:val="003A157B"/>
    <w:rsid w:val="003A4127"/>
    <w:rsid w:val="003A5419"/>
    <w:rsid w:val="003C08D6"/>
    <w:rsid w:val="003C776C"/>
    <w:rsid w:val="003F27B8"/>
    <w:rsid w:val="00401D89"/>
    <w:rsid w:val="0040797B"/>
    <w:rsid w:val="00420652"/>
    <w:rsid w:val="00427496"/>
    <w:rsid w:val="00445C1F"/>
    <w:rsid w:val="00464836"/>
    <w:rsid w:val="00465784"/>
    <w:rsid w:val="00472B64"/>
    <w:rsid w:val="004738FA"/>
    <w:rsid w:val="004924CA"/>
    <w:rsid w:val="00497128"/>
    <w:rsid w:val="004B3EE8"/>
    <w:rsid w:val="004B577C"/>
    <w:rsid w:val="004C1117"/>
    <w:rsid w:val="004F656C"/>
    <w:rsid w:val="00512872"/>
    <w:rsid w:val="00523790"/>
    <w:rsid w:val="00523B99"/>
    <w:rsid w:val="00524615"/>
    <w:rsid w:val="00530CB6"/>
    <w:rsid w:val="005378CE"/>
    <w:rsid w:val="005379D7"/>
    <w:rsid w:val="00570AF9"/>
    <w:rsid w:val="00582208"/>
    <w:rsid w:val="00583CA1"/>
    <w:rsid w:val="00594347"/>
    <w:rsid w:val="0059520D"/>
    <w:rsid w:val="005C34E4"/>
    <w:rsid w:val="005C48F3"/>
    <w:rsid w:val="005D11CE"/>
    <w:rsid w:val="005E5D87"/>
    <w:rsid w:val="00603D3B"/>
    <w:rsid w:val="006149CF"/>
    <w:rsid w:val="006264CF"/>
    <w:rsid w:val="00631D68"/>
    <w:rsid w:val="00645F1B"/>
    <w:rsid w:val="00685914"/>
    <w:rsid w:val="00692A14"/>
    <w:rsid w:val="006B6670"/>
    <w:rsid w:val="006C1FC9"/>
    <w:rsid w:val="006F630D"/>
    <w:rsid w:val="00707C6B"/>
    <w:rsid w:val="00720433"/>
    <w:rsid w:val="0072068D"/>
    <w:rsid w:val="00726FE7"/>
    <w:rsid w:val="00737771"/>
    <w:rsid w:val="00742C58"/>
    <w:rsid w:val="00760AE7"/>
    <w:rsid w:val="00761821"/>
    <w:rsid w:val="0076212B"/>
    <w:rsid w:val="007740EC"/>
    <w:rsid w:val="00783387"/>
    <w:rsid w:val="007A061D"/>
    <w:rsid w:val="007B48B9"/>
    <w:rsid w:val="007C2FFC"/>
    <w:rsid w:val="007C5367"/>
    <w:rsid w:val="007C550B"/>
    <w:rsid w:val="00801857"/>
    <w:rsid w:val="00841DB1"/>
    <w:rsid w:val="0086331B"/>
    <w:rsid w:val="00880987"/>
    <w:rsid w:val="0088485E"/>
    <w:rsid w:val="008A4BE8"/>
    <w:rsid w:val="008E5A44"/>
    <w:rsid w:val="008E5B00"/>
    <w:rsid w:val="00920255"/>
    <w:rsid w:val="009245C1"/>
    <w:rsid w:val="009626AD"/>
    <w:rsid w:val="0096534D"/>
    <w:rsid w:val="00965C6B"/>
    <w:rsid w:val="00975CFA"/>
    <w:rsid w:val="009B021F"/>
    <w:rsid w:val="009C7F78"/>
    <w:rsid w:val="009D5521"/>
    <w:rsid w:val="009E5BE9"/>
    <w:rsid w:val="009F2793"/>
    <w:rsid w:val="009F7685"/>
    <w:rsid w:val="00A00154"/>
    <w:rsid w:val="00A20012"/>
    <w:rsid w:val="00A324AA"/>
    <w:rsid w:val="00A3466A"/>
    <w:rsid w:val="00A36042"/>
    <w:rsid w:val="00A42351"/>
    <w:rsid w:val="00A4317E"/>
    <w:rsid w:val="00A538DF"/>
    <w:rsid w:val="00AA4941"/>
    <w:rsid w:val="00AA6FEC"/>
    <w:rsid w:val="00AB521A"/>
    <w:rsid w:val="00AF105E"/>
    <w:rsid w:val="00B11459"/>
    <w:rsid w:val="00B54945"/>
    <w:rsid w:val="00B77A52"/>
    <w:rsid w:val="00BA07D5"/>
    <w:rsid w:val="00BB429F"/>
    <w:rsid w:val="00BB6AA4"/>
    <w:rsid w:val="00BC4B96"/>
    <w:rsid w:val="00BC4D0D"/>
    <w:rsid w:val="00BD428D"/>
    <w:rsid w:val="00BD516D"/>
    <w:rsid w:val="00C23B0C"/>
    <w:rsid w:val="00C35EC9"/>
    <w:rsid w:val="00C43FB3"/>
    <w:rsid w:val="00C70024"/>
    <w:rsid w:val="00C95DAF"/>
    <w:rsid w:val="00CD32B3"/>
    <w:rsid w:val="00CD7C83"/>
    <w:rsid w:val="00CF0BF7"/>
    <w:rsid w:val="00D037B8"/>
    <w:rsid w:val="00D0587C"/>
    <w:rsid w:val="00D12189"/>
    <w:rsid w:val="00D22FB8"/>
    <w:rsid w:val="00D36000"/>
    <w:rsid w:val="00D36674"/>
    <w:rsid w:val="00D46253"/>
    <w:rsid w:val="00D50399"/>
    <w:rsid w:val="00D55D0F"/>
    <w:rsid w:val="00D6762B"/>
    <w:rsid w:val="00D711C9"/>
    <w:rsid w:val="00D853B9"/>
    <w:rsid w:val="00D94612"/>
    <w:rsid w:val="00DB2CF2"/>
    <w:rsid w:val="00DC1A81"/>
    <w:rsid w:val="00DC1E5E"/>
    <w:rsid w:val="00DC5681"/>
    <w:rsid w:val="00DF59AE"/>
    <w:rsid w:val="00E472DF"/>
    <w:rsid w:val="00E47A34"/>
    <w:rsid w:val="00E54F5B"/>
    <w:rsid w:val="00E551ED"/>
    <w:rsid w:val="00E61C7B"/>
    <w:rsid w:val="00E64472"/>
    <w:rsid w:val="00E6544C"/>
    <w:rsid w:val="00E767F1"/>
    <w:rsid w:val="00E83712"/>
    <w:rsid w:val="00E86C73"/>
    <w:rsid w:val="00E97C7B"/>
    <w:rsid w:val="00EB3D55"/>
    <w:rsid w:val="00EC1F5F"/>
    <w:rsid w:val="00EE3CFE"/>
    <w:rsid w:val="00F665A5"/>
    <w:rsid w:val="00F72404"/>
    <w:rsid w:val="00F725FA"/>
    <w:rsid w:val="00F766C8"/>
    <w:rsid w:val="00F835E0"/>
    <w:rsid w:val="00F83B42"/>
    <w:rsid w:val="00F939AA"/>
    <w:rsid w:val="00FA73C8"/>
    <w:rsid w:val="00FB375F"/>
    <w:rsid w:val="00FB441E"/>
    <w:rsid w:val="00FD3861"/>
  </w:rsids>
  <w:themeFontLang w:eastAsia="ja-JP" w:val="en-GB"/>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kern w:val="2"/>
        <w:sz w:val="22"/>
        <w:szCs w:val="22"/>
        <w:lang w:val="en-GB" w:eastAsia="ja-JP" w:bidi="ar-SA"/>
        <w14:ligatures w14:val="standardContextual"/>
      </w:rPr>
    </w:rPrDefault>
    <w:pPrDefault>
      <w:pPr>
        <w:spacing w:before="18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annotation text" w:semiHidden="1" w:unhideWhenUsed="1"/>
    <w:lsdException w:name="header" w:semiHidden="1" w:uiPriority="31" w:unhideWhenUsed="1"/>
    <w:lsdException w:name="footer" w:semiHidden="1" w:uiPriority="3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lsdException w:name="List Bullet 3" w:semiHidden="1" w:uiPriority="9" w:unhideWhenUsed="1"/>
    <w:lsdException w:name="List Bullet 4" w:semiHidden="1" w:uiPriority="9" w:unhideWhenUsed="1"/>
    <w:lsdException w:name="List Bullet 5" w:semiHidden="1" w:uiPriority="9" w:unhideWhenUsed="1"/>
    <w:lsdException w:name="List Number 2" w:semiHidden="1" w:uiPriority="9" w:unhideWhenUsed="1"/>
    <w:lsdException w:name="List Number 3" w:semiHidden="1" w:uiPriority="9" w:unhideWhenUsed="1"/>
    <w:lsdException w:name="List Number 4" w:semiHidden="1" w:uiPriority="9" w:unhideWhenUsed="1"/>
    <w:lsdException w:name="List Number 5" w:semiHidden="1" w:uiPriority="9" w:unhideWhenUsed="1"/>
    <w:lsdException w:name="Title" w:uiPriority="27"/>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9D7"/>
    <w:rPr>
      <w:lang w:val="en-CA"/>
    </w:rPr>
  </w:style>
  <w:style w:type="paragraph" w:styleId="Heading1">
    <w:name w:val="heading 1"/>
    <w:basedOn w:val="TOC1Heading"/>
    <w:next w:val="Normal"/>
    <w:link w:val="Heading1Char"/>
    <w:uiPriority w:val="9"/>
    <w:qFormat/>
    <w:rsid w:val="003C776C"/>
    <w:pPr>
      <w:keepLines/>
      <w:numPr>
        <w:numId w:val="3"/>
      </w:numPr>
    </w:pPr>
    <w:rPr>
      <w:rFonts w:eastAsiaTheme="majorEastAsia" w:cstheme="majorBidi"/>
      <w:szCs w:val="40"/>
    </w:rPr>
  </w:style>
  <w:style w:type="paragraph" w:styleId="Heading2">
    <w:name w:val="heading 2"/>
    <w:basedOn w:val="TOC2Heading"/>
    <w:next w:val="Normal"/>
    <w:link w:val="Heading2Char"/>
    <w:uiPriority w:val="9"/>
    <w:qFormat/>
    <w:rsid w:val="003C776C"/>
    <w:pPr>
      <w:keepLines/>
      <w:numPr>
        <w:ilvl w:val="1"/>
        <w:numId w:val="3"/>
      </w:numPr>
    </w:pPr>
    <w:rPr>
      <w:rFonts w:eastAsiaTheme="majorEastAsia" w:cstheme="majorBidi"/>
    </w:rPr>
  </w:style>
  <w:style w:type="paragraph" w:styleId="Heading3">
    <w:name w:val="heading 3"/>
    <w:basedOn w:val="TOC3Heading"/>
    <w:next w:val="Normal"/>
    <w:link w:val="Heading3Char"/>
    <w:uiPriority w:val="9"/>
    <w:qFormat/>
    <w:rsid w:val="003C776C"/>
    <w:pPr>
      <w:keepLines/>
      <w:numPr>
        <w:ilvl w:val="2"/>
        <w:numId w:val="3"/>
      </w:numPr>
    </w:pPr>
    <w:rPr>
      <w:rFonts w:eastAsiaTheme="majorEastAsia" w:cstheme="majorBidi"/>
      <w:szCs w:val="28"/>
    </w:rPr>
  </w:style>
  <w:style w:type="paragraph" w:styleId="Heading4">
    <w:name w:val="heading 4"/>
    <w:basedOn w:val="Normal"/>
    <w:next w:val="Normal"/>
    <w:link w:val="Heading4Char"/>
    <w:uiPriority w:val="9"/>
    <w:qFormat/>
    <w:rsid w:val="00C70024"/>
    <w:pPr>
      <w:keepNext/>
      <w:keepLines/>
      <w:spacing w:before="360" w:after="120" w:line="240" w:lineRule="auto"/>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qFormat/>
    <w:rsid w:val="00975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qFormat/>
    <w:rsid w:val="00975C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975C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975C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975C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6C"/>
    <w:rPr>
      <w:rFonts w:asciiTheme="majorHAnsi" w:eastAsiaTheme="majorEastAsia" w:hAnsiTheme="majorHAnsi" w:cstheme="majorBidi"/>
      <w:sz w:val="40"/>
      <w:szCs w:val="40"/>
      <w:lang w:val="en-US" w:eastAsia="en-US"/>
    </w:rPr>
  </w:style>
  <w:style w:type="character" w:customStyle="1" w:styleId="Heading2Char">
    <w:name w:val="Heading 2 Char"/>
    <w:basedOn w:val="DefaultParagraphFont"/>
    <w:link w:val="Heading2"/>
    <w:uiPriority w:val="9"/>
    <w:rsid w:val="00C70024"/>
    <w:rPr>
      <w:rFonts w:asciiTheme="majorHAnsi" w:eastAsiaTheme="majorEastAsia" w:hAnsiTheme="majorHAnsi" w:cstheme="majorBidi"/>
      <w:sz w:val="28"/>
      <w:szCs w:val="32"/>
      <w:lang w:val="en-US" w:eastAsia="en-US"/>
    </w:rPr>
  </w:style>
  <w:style w:type="character" w:customStyle="1" w:styleId="Heading3Char">
    <w:name w:val="Heading 3 Char"/>
    <w:basedOn w:val="DefaultParagraphFont"/>
    <w:link w:val="Heading3"/>
    <w:uiPriority w:val="9"/>
    <w:rsid w:val="00C70024"/>
    <w:rPr>
      <w:rFonts w:asciiTheme="majorHAnsi" w:eastAsiaTheme="majorEastAsia" w:hAnsiTheme="majorHAnsi" w:cstheme="majorBidi"/>
      <w:sz w:val="24"/>
      <w:szCs w:val="28"/>
      <w:lang w:val="en-US" w:eastAsia="en-US"/>
    </w:rPr>
  </w:style>
  <w:style w:type="character" w:customStyle="1" w:styleId="Heading4Char">
    <w:name w:val="Heading 4 Char"/>
    <w:basedOn w:val="DefaultParagraphFont"/>
    <w:link w:val="Heading4"/>
    <w:uiPriority w:val="9"/>
    <w:rsid w:val="00241653"/>
    <w:rPr>
      <w:rFonts w:asciiTheme="majorHAnsi" w:eastAsiaTheme="majorEastAsia" w:hAnsiTheme="majorHAnsi" w:cstheme="majorBidi"/>
      <w:iCs/>
      <w:lang w:val="en-CA"/>
    </w:rPr>
  </w:style>
  <w:style w:type="character" w:customStyle="1" w:styleId="Heading5Char">
    <w:name w:val="Heading 5 Char"/>
    <w:basedOn w:val="DefaultParagraphFont"/>
    <w:link w:val="Heading5"/>
    <w:uiPriority w:val="9"/>
    <w:semiHidden/>
    <w:rsid w:val="00241653"/>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241653"/>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241653"/>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241653"/>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241653"/>
    <w:rPr>
      <w:rFonts w:eastAsiaTheme="majorEastAsia" w:cstheme="majorBidi"/>
      <w:color w:val="272727" w:themeColor="text1" w:themeTint="D8"/>
      <w:lang w:val="en-CA"/>
    </w:rPr>
  </w:style>
  <w:style w:type="paragraph" w:styleId="Title">
    <w:name w:val="Title"/>
    <w:basedOn w:val="Normal"/>
    <w:next w:val="Normal"/>
    <w:link w:val="TitleChar"/>
    <w:uiPriority w:val="27"/>
    <w:rsid w:val="00200BE5"/>
    <w:pPr>
      <w:spacing w:before="120" w:after="240" w:line="240" w:lineRule="auto"/>
      <w:contextualSpacing/>
    </w:pPr>
    <w:rPr>
      <w:rFonts w:asciiTheme="majorHAnsi" w:eastAsiaTheme="majorEastAsia" w:hAnsiTheme="majorHAnsi" w:cstheme="majorBidi"/>
      <w:sz w:val="44"/>
      <w:szCs w:val="56"/>
    </w:rPr>
  </w:style>
  <w:style w:type="character" w:customStyle="1" w:styleId="TitleChar">
    <w:name w:val="Title Char"/>
    <w:basedOn w:val="DefaultParagraphFont"/>
    <w:link w:val="Title"/>
    <w:uiPriority w:val="27"/>
    <w:rsid w:val="00200BE5"/>
    <w:rPr>
      <w:rFonts w:asciiTheme="majorHAnsi" w:eastAsiaTheme="majorEastAsia" w:hAnsiTheme="majorHAnsi" w:cstheme="majorBidi"/>
      <w:sz w:val="44"/>
      <w:szCs w:val="56"/>
      <w:lang w:val="en-CA"/>
    </w:rPr>
  </w:style>
  <w:style w:type="character" w:styleId="FootnoteReference">
    <w:name w:val="footnote reference"/>
    <w:basedOn w:val="DefaultParagraphFont"/>
    <w:uiPriority w:val="99"/>
    <w:rsid w:val="00E551ED"/>
    <w:rPr>
      <w:b/>
      <w:color w:val="F37021" w:themeColor="text2"/>
      <w:sz w:val="18"/>
      <w:vertAlign w:val="superscript"/>
    </w:rPr>
  </w:style>
  <w:style w:type="paragraph" w:customStyle="1" w:styleId="Spacer">
    <w:name w:val="Spacer"/>
    <w:semiHidden/>
    <w:qFormat/>
    <w:rsid w:val="00707C6B"/>
    <w:pPr>
      <w:spacing w:before="0" w:line="240" w:lineRule="auto"/>
    </w:pPr>
    <w:rPr>
      <w:rFonts w:eastAsiaTheme="minorHAnsi"/>
      <w:noProof/>
      <w:sz w:val="4"/>
      <w:lang w:val="en-US" w:eastAsia="en-US"/>
    </w:rPr>
  </w:style>
  <w:style w:type="paragraph" w:styleId="Quote">
    <w:name w:val="Quote"/>
    <w:basedOn w:val="Normal"/>
    <w:next w:val="Normal"/>
    <w:link w:val="QuoteChar"/>
    <w:uiPriority w:val="3"/>
    <w:rsid w:val="00C70024"/>
    <w:pPr>
      <w:spacing w:after="180"/>
      <w:ind w:left="720" w:right="720"/>
    </w:pPr>
    <w:rPr>
      <w:iCs/>
      <w:color w:val="404040" w:themeColor="text1" w:themeTint="BF"/>
    </w:rPr>
  </w:style>
  <w:style w:type="character" w:customStyle="1" w:styleId="QuoteChar">
    <w:name w:val="Quote Char"/>
    <w:basedOn w:val="DefaultParagraphFont"/>
    <w:link w:val="Quote"/>
    <w:uiPriority w:val="3"/>
    <w:rsid w:val="00C70024"/>
    <w:rPr>
      <w:iCs/>
      <w:color w:val="404040" w:themeColor="text1" w:themeTint="BF"/>
      <w:lang w:val="en-CA"/>
    </w:rPr>
  </w:style>
  <w:style w:type="paragraph" w:styleId="ListParagraph">
    <w:name w:val="List Paragraph"/>
    <w:basedOn w:val="Normal"/>
    <w:uiPriority w:val="34"/>
    <w:semiHidden/>
    <w:qFormat/>
    <w:rsid w:val="00975CFA"/>
    <w:pPr>
      <w:ind w:left="720"/>
      <w:contextualSpacing/>
    </w:pPr>
  </w:style>
  <w:style w:type="paragraph" w:styleId="IntenseQuote">
    <w:name w:val="Intense Quote"/>
    <w:basedOn w:val="Normal"/>
    <w:next w:val="Normal"/>
    <w:link w:val="IntenseQuoteChar"/>
    <w:uiPriority w:val="3"/>
    <w:rsid w:val="00C70024"/>
    <w:pPr>
      <w:pBdr>
        <w:top w:val="single" w:sz="4" w:space="10" w:color="F37021" w:themeColor="text2"/>
        <w:bottom w:val="single" w:sz="4" w:space="10" w:color="F37021" w:themeColor="text2"/>
      </w:pBdr>
      <w:spacing w:before="360" w:after="360"/>
      <w:ind w:left="720" w:right="720"/>
    </w:pPr>
    <w:rPr>
      <w:iCs/>
    </w:rPr>
  </w:style>
  <w:style w:type="character" w:customStyle="1" w:styleId="IntenseQuoteChar">
    <w:name w:val="Intense Quote Char"/>
    <w:basedOn w:val="DefaultParagraphFont"/>
    <w:link w:val="IntenseQuote"/>
    <w:uiPriority w:val="3"/>
    <w:rsid w:val="00C70024"/>
    <w:rPr>
      <w:iCs/>
      <w:lang w:val="en-CA"/>
    </w:rPr>
  </w:style>
  <w:style w:type="character" w:styleId="IntenseReference">
    <w:name w:val="Intense Reference"/>
    <w:basedOn w:val="DefaultParagraphFont"/>
    <w:uiPriority w:val="32"/>
    <w:semiHidden/>
    <w:qFormat/>
    <w:rsid w:val="00975CFA"/>
    <w:rPr>
      <w:b/>
      <w:bCs/>
      <w:smallCaps/>
      <w:color w:val="0F4761" w:themeColor="accent1" w:themeShade="BF"/>
      <w:spacing w:val="5"/>
    </w:rPr>
  </w:style>
  <w:style w:type="table" w:styleId="TableGrid">
    <w:name w:val="Table Grid"/>
    <w:basedOn w:val="TableNormal"/>
    <w:uiPriority w:val="39"/>
    <w:rsid w:val="00EC1F5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26AD"/>
    <w:rPr>
      <w:color w:val="666666"/>
      <w:bdr w:val="none" w:sz="0" w:space="0" w:color="auto"/>
      <w:shd w:val="clear" w:color="auto" w:fill="auto"/>
    </w:rPr>
  </w:style>
  <w:style w:type="paragraph" w:customStyle="1" w:styleId="Title3">
    <w:name w:val="Title 3"/>
    <w:uiPriority w:val="27"/>
    <w:rsid w:val="00200BE5"/>
    <w:pPr>
      <w:spacing w:before="120" w:line="240" w:lineRule="auto"/>
    </w:pPr>
    <w:rPr>
      <w:rFonts w:eastAsiaTheme="minorHAnsi"/>
      <w:sz w:val="24"/>
      <w:szCs w:val="32"/>
      <w:lang w:val="en-US" w:eastAsia="en-US"/>
    </w:rPr>
  </w:style>
  <w:style w:type="paragraph" w:styleId="NoSpacing">
    <w:name w:val="No Spacing"/>
    <w:qFormat/>
    <w:rsid w:val="00707C6B"/>
    <w:pPr>
      <w:spacing w:before="0" w:line="240" w:lineRule="auto"/>
    </w:pPr>
    <w:rPr>
      <w:lang w:val="en-CA"/>
    </w:rPr>
  </w:style>
  <w:style w:type="paragraph" w:styleId="Header">
    <w:name w:val="header"/>
    <w:basedOn w:val="Normal"/>
    <w:link w:val="HeaderChar"/>
    <w:uiPriority w:val="31"/>
    <w:rsid w:val="000F0388"/>
    <w:pPr>
      <w:pBdr>
        <w:bottom w:val="single" w:sz="2" w:space="5" w:color="F37021" w:themeColor="text2"/>
      </w:pBdr>
      <w:tabs>
        <w:tab w:val="right" w:pos="9360"/>
      </w:tabs>
      <w:spacing w:before="0" w:line="240" w:lineRule="auto"/>
    </w:pPr>
    <w:rPr>
      <w:sz w:val="16"/>
    </w:rPr>
  </w:style>
  <w:style w:type="character" w:customStyle="1" w:styleId="HeaderChar">
    <w:name w:val="Header Char"/>
    <w:basedOn w:val="DefaultParagraphFont"/>
    <w:link w:val="Header"/>
    <w:uiPriority w:val="31"/>
    <w:rsid w:val="00301D78"/>
    <w:rPr>
      <w:sz w:val="16"/>
      <w:lang w:val="en-CA"/>
    </w:rPr>
  </w:style>
  <w:style w:type="paragraph" w:styleId="Footer">
    <w:name w:val="footer"/>
    <w:basedOn w:val="Normal"/>
    <w:link w:val="FooterChar"/>
    <w:uiPriority w:val="31"/>
    <w:rsid w:val="000A3DF4"/>
    <w:pPr>
      <w:pBdr>
        <w:top w:val="single" w:sz="2" w:space="5" w:color="F37021" w:themeColor="text2"/>
      </w:pBdr>
      <w:tabs>
        <w:tab w:val="right" w:pos="9360"/>
      </w:tabs>
      <w:spacing w:before="0" w:line="240" w:lineRule="auto"/>
    </w:pPr>
    <w:rPr>
      <w:caps/>
      <w:sz w:val="16"/>
    </w:rPr>
  </w:style>
  <w:style w:type="character" w:customStyle="1" w:styleId="FooterChar">
    <w:name w:val="Footer Char"/>
    <w:basedOn w:val="DefaultParagraphFont"/>
    <w:link w:val="Footer"/>
    <w:uiPriority w:val="31"/>
    <w:rsid w:val="000A3DF4"/>
    <w:rPr>
      <w:caps/>
      <w:sz w:val="16"/>
      <w:lang w:val="en-CA"/>
    </w:rPr>
  </w:style>
  <w:style w:type="paragraph" w:customStyle="1" w:styleId="CoverHeading">
    <w:name w:val="Cover Heading"/>
    <w:link w:val="CoverHeadingChar"/>
    <w:uiPriority w:val="29"/>
    <w:rsid w:val="00707C6B"/>
    <w:pPr>
      <w:spacing w:before="0" w:line="240" w:lineRule="auto"/>
    </w:pPr>
    <w:rPr>
      <w:rFonts w:eastAsiaTheme="minorHAnsi"/>
      <w:b/>
      <w:bCs/>
      <w:sz w:val="20"/>
      <w:lang w:val="en-US" w:eastAsia="en-US"/>
    </w:rPr>
  </w:style>
  <w:style w:type="character" w:customStyle="1" w:styleId="CoverHeadingChar">
    <w:name w:val="Cover Heading Char"/>
    <w:basedOn w:val="DefaultParagraphFont"/>
    <w:link w:val="CoverHeading"/>
    <w:uiPriority w:val="29"/>
    <w:rsid w:val="00707C6B"/>
    <w:rPr>
      <w:rFonts w:eastAsiaTheme="minorHAnsi"/>
      <w:b/>
      <w:bCs/>
      <w:sz w:val="20"/>
      <w:lang w:val="en-US" w:eastAsia="en-US"/>
    </w:rPr>
  </w:style>
  <w:style w:type="paragraph" w:customStyle="1" w:styleId="CoverText">
    <w:name w:val="Cover Text"/>
    <w:link w:val="CoverTextChar"/>
    <w:uiPriority w:val="29"/>
    <w:rsid w:val="00707C6B"/>
    <w:pPr>
      <w:spacing w:before="0" w:line="240" w:lineRule="auto"/>
    </w:pPr>
    <w:rPr>
      <w:rFonts w:eastAsiaTheme="minorHAnsi"/>
      <w:sz w:val="18"/>
      <w:lang w:val="en-US" w:eastAsia="en-US"/>
    </w:rPr>
  </w:style>
  <w:style w:type="character" w:customStyle="1" w:styleId="CoverTextChar">
    <w:name w:val="Cover Text Char"/>
    <w:basedOn w:val="DefaultParagraphFont"/>
    <w:link w:val="CoverText"/>
    <w:uiPriority w:val="29"/>
    <w:rsid w:val="00707C6B"/>
    <w:rPr>
      <w:rFonts w:eastAsiaTheme="minorHAnsi"/>
      <w:sz w:val="18"/>
      <w:lang w:val="en-US" w:eastAsia="en-US"/>
    </w:rPr>
  </w:style>
  <w:style w:type="paragraph" w:customStyle="1" w:styleId="CoverTelephone">
    <w:name w:val="Cover Telephone"/>
    <w:basedOn w:val="CoverText"/>
    <w:next w:val="CoverText"/>
    <w:link w:val="CoverTelephoneChar"/>
    <w:uiPriority w:val="29"/>
    <w:rsid w:val="00F766C8"/>
    <w:pPr>
      <w:spacing w:before="60"/>
    </w:pPr>
  </w:style>
  <w:style w:type="character" w:customStyle="1" w:styleId="CoverTelephoneChar">
    <w:name w:val="Cover Telephone Char"/>
    <w:basedOn w:val="CoverTextChar"/>
    <w:link w:val="CoverTelephone"/>
    <w:uiPriority w:val="29"/>
    <w:rsid w:val="00F766C8"/>
    <w:rPr>
      <w:rFonts w:eastAsiaTheme="minorHAnsi"/>
      <w:sz w:val="18"/>
      <w:lang w:val="en-US" w:eastAsia="en-US"/>
    </w:rPr>
  </w:style>
  <w:style w:type="paragraph" w:customStyle="1" w:styleId="Title2">
    <w:name w:val="Title 2"/>
    <w:link w:val="Title2Char"/>
    <w:uiPriority w:val="27"/>
    <w:rsid w:val="00200BE5"/>
    <w:pPr>
      <w:spacing w:before="0" w:line="240" w:lineRule="auto"/>
    </w:pPr>
    <w:rPr>
      <w:rFonts w:asciiTheme="majorHAnsi" w:eastAsiaTheme="minorHAnsi" w:hAnsiTheme="majorHAnsi"/>
      <w:sz w:val="28"/>
      <w:szCs w:val="36"/>
      <w:lang w:val="en-US" w:eastAsia="en-US"/>
    </w:rPr>
  </w:style>
  <w:style w:type="character" w:customStyle="1" w:styleId="Title2Char">
    <w:name w:val="Title 2 Char"/>
    <w:basedOn w:val="DefaultParagraphFont"/>
    <w:link w:val="Title2"/>
    <w:uiPriority w:val="27"/>
    <w:rsid w:val="00200BE5"/>
    <w:rPr>
      <w:rFonts w:asciiTheme="majorHAnsi" w:eastAsiaTheme="minorHAnsi" w:hAnsiTheme="majorHAnsi"/>
      <w:sz w:val="28"/>
      <w:szCs w:val="36"/>
      <w:lang w:val="en-US" w:eastAsia="en-US"/>
    </w:rPr>
  </w:style>
  <w:style w:type="paragraph" w:styleId="TOCHeading">
    <w:name w:val="TOC Heading"/>
    <w:basedOn w:val="Heading1"/>
    <w:next w:val="BodyText"/>
    <w:uiPriority w:val="39"/>
    <w:semiHidden/>
    <w:rsid w:val="0088485E"/>
    <w:pPr>
      <w:numPr>
        <w:numId w:val="0"/>
      </w:numPr>
    </w:pPr>
    <w:rPr>
      <w:szCs w:val="32"/>
    </w:rPr>
  </w:style>
  <w:style w:type="paragraph" w:styleId="BodyText">
    <w:name w:val="Body Text"/>
    <w:basedOn w:val="Normal"/>
    <w:link w:val="BodyTextChar"/>
    <w:uiPriority w:val="1"/>
    <w:semiHidden/>
    <w:qFormat/>
    <w:rsid w:val="00196346"/>
    <w:rPr>
      <w:rFonts w:eastAsiaTheme="minorHAnsi"/>
      <w:lang w:eastAsia="en-US"/>
    </w:rPr>
  </w:style>
  <w:style w:type="character" w:customStyle="1" w:styleId="BodyTextChar">
    <w:name w:val="Body Text Char"/>
    <w:basedOn w:val="DefaultParagraphFont"/>
    <w:link w:val="BodyText"/>
    <w:uiPriority w:val="1"/>
    <w:semiHidden/>
    <w:rsid w:val="00C70024"/>
    <w:rPr>
      <w:rFonts w:eastAsiaTheme="minorHAnsi"/>
      <w:lang w:val="en-CA" w:eastAsia="en-US"/>
    </w:rPr>
  </w:style>
  <w:style w:type="numbering" w:customStyle="1" w:styleId="SRKHeadings">
    <w:name w:val="SRK Headings"/>
    <w:uiPriority w:val="99"/>
    <w:rsid w:val="00E6544C"/>
    <w:pPr>
      <w:numPr>
        <w:numId w:val="1"/>
      </w:numPr>
    </w:pPr>
  </w:style>
  <w:style w:type="paragraph" w:styleId="ListBullet">
    <w:name w:val="List Bullet"/>
    <w:basedOn w:val="Normal"/>
    <w:uiPriority w:val="4"/>
    <w:qFormat/>
    <w:rsid w:val="00472B64"/>
    <w:pPr>
      <w:numPr>
        <w:numId w:val="27"/>
      </w:numPr>
      <w:spacing w:before="120"/>
    </w:pPr>
    <w:rPr>
      <w:rFonts w:eastAsiaTheme="minorHAnsi"/>
      <w:lang w:val="en-US" w:eastAsia="en-US"/>
    </w:rPr>
  </w:style>
  <w:style w:type="paragraph" w:customStyle="1" w:styleId="Disclaimer">
    <w:name w:val="Disclaimer"/>
    <w:uiPriority w:val="35"/>
    <w:rsid w:val="00336EE6"/>
    <w:pPr>
      <w:spacing w:before="120" w:line="240" w:lineRule="auto"/>
    </w:pPr>
    <w:rPr>
      <w:rFonts w:eastAsiaTheme="minorHAnsi"/>
      <w:sz w:val="16"/>
      <w:szCs w:val="18"/>
      <w:lang w:val="en-US" w:eastAsia="en-US"/>
    </w:rPr>
  </w:style>
  <w:style w:type="paragraph" w:customStyle="1" w:styleId="References">
    <w:name w:val="References"/>
    <w:basedOn w:val="BodyText"/>
    <w:uiPriority w:val="1"/>
    <w:rsid w:val="00336EE6"/>
    <w:pPr>
      <w:ind w:left="1080" w:hanging="1080"/>
    </w:pPr>
    <w:rPr>
      <w:lang w:val="en-US"/>
    </w:rPr>
  </w:style>
  <w:style w:type="paragraph" w:styleId="ListBullet2">
    <w:name w:val="List Bullet 2"/>
    <w:basedOn w:val="ListBullet"/>
    <w:uiPriority w:val="4"/>
    <w:rsid w:val="00E6544C"/>
    <w:pPr>
      <w:numPr>
        <w:ilvl w:val="1"/>
      </w:numPr>
    </w:pPr>
  </w:style>
  <w:style w:type="paragraph" w:styleId="ListBullet3">
    <w:name w:val="List Bullet 3"/>
    <w:basedOn w:val="ListBullet2"/>
    <w:uiPriority w:val="4"/>
    <w:rsid w:val="00E6544C"/>
    <w:pPr>
      <w:numPr>
        <w:ilvl w:val="2"/>
      </w:numPr>
    </w:pPr>
  </w:style>
  <w:style w:type="paragraph" w:styleId="ListBullet4">
    <w:name w:val="List Bullet 4"/>
    <w:basedOn w:val="ListBullet3"/>
    <w:uiPriority w:val="4"/>
    <w:rsid w:val="00E6544C"/>
    <w:pPr>
      <w:numPr>
        <w:ilvl w:val="3"/>
      </w:numPr>
      <w:contextualSpacing/>
    </w:pPr>
  </w:style>
  <w:style w:type="paragraph" w:styleId="ListBullet5">
    <w:name w:val="List Bullet 5"/>
    <w:basedOn w:val="ListBullet4"/>
    <w:uiPriority w:val="4"/>
    <w:rsid w:val="00E6544C"/>
    <w:pPr>
      <w:numPr>
        <w:ilvl w:val="4"/>
      </w:numPr>
      <w:contextualSpacing w:val="0"/>
    </w:pPr>
  </w:style>
  <w:style w:type="paragraph" w:styleId="ListNumber">
    <w:name w:val="List Number"/>
    <w:basedOn w:val="Normal"/>
    <w:uiPriority w:val="4"/>
    <w:qFormat/>
    <w:rsid w:val="00472B64"/>
    <w:pPr>
      <w:numPr>
        <w:numId w:val="30"/>
      </w:numPr>
      <w:spacing w:before="120"/>
    </w:pPr>
    <w:rPr>
      <w:rFonts w:eastAsiaTheme="minorHAnsi"/>
      <w:lang w:val="en-US" w:eastAsia="en-US"/>
    </w:rPr>
  </w:style>
  <w:style w:type="paragraph" w:styleId="ListNumber2">
    <w:name w:val="List Number 2"/>
    <w:basedOn w:val="ListNumber"/>
    <w:uiPriority w:val="4"/>
    <w:rsid w:val="00E6544C"/>
    <w:pPr>
      <w:numPr>
        <w:ilvl w:val="1"/>
      </w:numPr>
      <w:contextualSpacing/>
    </w:pPr>
  </w:style>
  <w:style w:type="paragraph" w:styleId="ListNumber3">
    <w:name w:val="List Number 3"/>
    <w:basedOn w:val="ListNumber2"/>
    <w:uiPriority w:val="4"/>
    <w:rsid w:val="00E6544C"/>
    <w:pPr>
      <w:numPr>
        <w:ilvl w:val="2"/>
      </w:numPr>
    </w:pPr>
  </w:style>
  <w:style w:type="paragraph" w:styleId="ListNumber4">
    <w:name w:val="List Number 4"/>
    <w:basedOn w:val="ListNumber3"/>
    <w:uiPriority w:val="4"/>
    <w:rsid w:val="00E6544C"/>
    <w:pPr>
      <w:numPr>
        <w:ilvl w:val="3"/>
      </w:numPr>
    </w:pPr>
  </w:style>
  <w:style w:type="paragraph" w:styleId="ListNumber5">
    <w:name w:val="List Number 5"/>
    <w:basedOn w:val="ListNumber4"/>
    <w:uiPriority w:val="4"/>
    <w:rsid w:val="00E6544C"/>
    <w:pPr>
      <w:numPr>
        <w:ilvl w:val="4"/>
      </w:numPr>
    </w:pPr>
  </w:style>
  <w:style w:type="paragraph" w:customStyle="1" w:styleId="TOC1Heading">
    <w:name w:val="−TOC 1 Heading"/>
    <w:basedOn w:val="NoSpacing"/>
    <w:next w:val="Normal"/>
    <w:uiPriority w:val="9"/>
    <w:qFormat/>
    <w:rsid w:val="00707C6B"/>
    <w:pPr>
      <w:keepNext/>
      <w:pageBreakBefore/>
      <w:spacing w:after="120"/>
      <w:outlineLvl w:val="0"/>
    </w:pPr>
    <w:rPr>
      <w:rFonts w:asciiTheme="majorHAnsi" w:eastAsiaTheme="minorHAnsi" w:hAnsiTheme="majorHAnsi"/>
      <w:sz w:val="40"/>
      <w:lang w:val="en-US" w:eastAsia="en-US"/>
    </w:rPr>
  </w:style>
  <w:style w:type="paragraph" w:customStyle="1" w:styleId="TOC2Heading">
    <w:name w:val="−TOC 2 Heading"/>
    <w:basedOn w:val="TOC1Heading"/>
    <w:next w:val="Normal"/>
    <w:uiPriority w:val="9"/>
    <w:qFormat/>
    <w:rsid w:val="00707C6B"/>
    <w:pPr>
      <w:pageBreakBefore w:val="0"/>
      <w:spacing w:before="360"/>
      <w:outlineLvl w:val="1"/>
    </w:pPr>
    <w:rPr>
      <w:sz w:val="28"/>
      <w:szCs w:val="32"/>
    </w:rPr>
  </w:style>
  <w:style w:type="paragraph" w:customStyle="1" w:styleId="TOC3Heading">
    <w:name w:val="−TOC 3 Heading"/>
    <w:basedOn w:val="TOC2Heading"/>
    <w:next w:val="Normal"/>
    <w:uiPriority w:val="9"/>
    <w:qFormat/>
    <w:rsid w:val="00707C6B"/>
    <w:pPr>
      <w:outlineLvl w:val="2"/>
    </w:pPr>
    <w:rPr>
      <w:sz w:val="24"/>
    </w:rPr>
  </w:style>
  <w:style w:type="numbering" w:customStyle="1" w:styleId="CurrentList1">
    <w:name w:val="Current List1"/>
    <w:uiPriority w:val="99"/>
    <w:rsid w:val="00472B64"/>
    <w:pPr>
      <w:numPr>
        <w:numId w:val="24"/>
      </w:numPr>
    </w:pPr>
  </w:style>
  <w:style w:type="numbering" w:customStyle="1" w:styleId="CurrentList2">
    <w:name w:val="Current List2"/>
    <w:uiPriority w:val="99"/>
    <w:rsid w:val="00472B64"/>
    <w:pPr>
      <w:numPr>
        <w:numId w:val="25"/>
      </w:numPr>
    </w:pPr>
  </w:style>
  <w:style w:type="numbering" w:customStyle="1" w:styleId="SRKBulletList">
    <w:name w:val="SRK Bullet List"/>
    <w:uiPriority w:val="99"/>
    <w:rsid w:val="00472B64"/>
    <w:pPr>
      <w:numPr>
        <w:numId w:val="26"/>
      </w:numPr>
    </w:pPr>
  </w:style>
  <w:style w:type="numbering" w:customStyle="1" w:styleId="CurrentList3">
    <w:name w:val="Current List3"/>
    <w:uiPriority w:val="99"/>
    <w:rsid w:val="00742C58"/>
    <w:pPr>
      <w:numPr>
        <w:numId w:val="28"/>
      </w:numPr>
    </w:pPr>
  </w:style>
  <w:style w:type="numbering" w:customStyle="1" w:styleId="SRKNumberedList">
    <w:name w:val="SRK Numbered List"/>
    <w:uiPriority w:val="99"/>
    <w:rsid w:val="00742C58"/>
    <w:pPr>
      <w:numPr>
        <w:numId w:val="29"/>
      </w:numPr>
    </w:pPr>
  </w:style>
  <w:style w:type="paragraph" w:styleId="Caption">
    <w:name w:val="caption"/>
    <w:basedOn w:val="Normal"/>
    <w:next w:val="Normal"/>
    <w:uiPriority w:val="19"/>
    <w:rsid w:val="00737771"/>
    <w:pPr>
      <w:keepNext/>
      <w:tabs>
        <w:tab w:val="left" w:pos="1440"/>
      </w:tabs>
      <w:spacing w:before="60"/>
      <w:ind w:left="1440" w:hanging="1440"/>
    </w:pPr>
    <w:rPr>
      <w:rFonts w:asciiTheme="majorHAnsi" w:eastAsiaTheme="minorHAnsi" w:hAnsiTheme="majorHAnsi"/>
      <w:iCs/>
      <w:sz w:val="20"/>
      <w:szCs w:val="18"/>
      <w:lang w:val="en-US" w:eastAsia="en-US"/>
    </w:rPr>
  </w:style>
  <w:style w:type="paragraph" w:customStyle="1" w:styleId="CaptionWide">
    <w:name w:val="Caption Wide"/>
    <w:basedOn w:val="Caption"/>
    <w:next w:val="Normal"/>
    <w:uiPriority w:val="19"/>
    <w:rsid w:val="00737771"/>
    <w:pPr>
      <w:tabs>
        <w:tab w:val="clear" w:pos="1440"/>
        <w:tab w:val="left" w:pos="0"/>
      </w:tabs>
      <w:ind w:left="0"/>
    </w:pPr>
    <w:rPr>
      <w:lang w:val="en-CA"/>
    </w:rPr>
  </w:style>
  <w:style w:type="paragraph" w:customStyle="1" w:styleId="Source">
    <w:name w:val="Source"/>
    <w:basedOn w:val="Normal"/>
    <w:next w:val="Normal"/>
    <w:link w:val="SourceChar"/>
    <w:uiPriority w:val="19"/>
    <w:rsid w:val="00737771"/>
    <w:pPr>
      <w:keepNext/>
      <w:spacing w:before="60"/>
    </w:pPr>
    <w:rPr>
      <w:rFonts w:eastAsiaTheme="minorHAnsi"/>
      <w:noProof/>
      <w:sz w:val="16"/>
      <w:lang w:val="en-US" w:eastAsia="en-US"/>
    </w:rPr>
  </w:style>
  <w:style w:type="character" w:customStyle="1" w:styleId="SourceChar">
    <w:name w:val="Source Char"/>
    <w:basedOn w:val="DefaultParagraphFont"/>
    <w:link w:val="Source"/>
    <w:uiPriority w:val="19"/>
    <w:rsid w:val="00092671"/>
    <w:rPr>
      <w:rFonts w:eastAsiaTheme="minorHAnsi"/>
      <w:noProof/>
      <w:sz w:val="16"/>
      <w:lang w:val="en-US" w:eastAsia="en-US"/>
    </w:rPr>
  </w:style>
  <w:style w:type="paragraph" w:customStyle="1" w:styleId="SourceWide">
    <w:name w:val="Source Wide"/>
    <w:basedOn w:val="Source"/>
    <w:next w:val="Normal"/>
    <w:link w:val="SourceWideChar"/>
    <w:uiPriority w:val="19"/>
    <w:rsid w:val="00092671"/>
    <w:pPr>
      <w:ind w:hanging="1440"/>
    </w:pPr>
    <w:rPr>
      <w:lang w:val="en-CA"/>
    </w:rPr>
  </w:style>
  <w:style w:type="character" w:customStyle="1" w:styleId="SourceWideChar">
    <w:name w:val="Source Wide Char"/>
    <w:basedOn w:val="SourceChar"/>
    <w:link w:val="SourceWide"/>
    <w:uiPriority w:val="19"/>
    <w:rsid w:val="00092671"/>
    <w:rPr>
      <w:rFonts w:eastAsiaTheme="minorHAnsi"/>
      <w:noProof/>
      <w:sz w:val="16"/>
      <w:lang w:val="en-CA" w:eastAsia="en-US"/>
    </w:rPr>
  </w:style>
  <w:style w:type="paragraph" w:customStyle="1" w:styleId="TableBulletList">
    <w:name w:val="Table Bullet List"/>
    <w:basedOn w:val="Normal"/>
    <w:uiPriority w:val="17"/>
    <w:qFormat/>
    <w:rsid w:val="00D36674"/>
    <w:pPr>
      <w:numPr>
        <w:numId w:val="33"/>
      </w:numPr>
      <w:spacing w:before="0" w:line="240" w:lineRule="auto"/>
    </w:pPr>
    <w:rPr>
      <w:sz w:val="18"/>
    </w:rPr>
  </w:style>
  <w:style w:type="paragraph" w:customStyle="1" w:styleId="TableBulletList2">
    <w:name w:val="Table Bullet List 2"/>
    <w:basedOn w:val="TableBulletList"/>
    <w:uiPriority w:val="17"/>
    <w:rsid w:val="00737771"/>
    <w:pPr>
      <w:numPr>
        <w:ilvl w:val="1"/>
      </w:numPr>
    </w:pPr>
  </w:style>
  <w:style w:type="paragraph" w:customStyle="1" w:styleId="TableBulletList3">
    <w:name w:val="Table Bullet List 3"/>
    <w:basedOn w:val="TableBulletList2"/>
    <w:uiPriority w:val="17"/>
    <w:rsid w:val="00737771"/>
    <w:pPr>
      <w:numPr>
        <w:ilvl w:val="2"/>
      </w:numPr>
    </w:pPr>
  </w:style>
  <w:style w:type="paragraph" w:customStyle="1" w:styleId="TableFootnote">
    <w:name w:val="Table Footnote"/>
    <w:basedOn w:val="Normal"/>
    <w:uiPriority w:val="21"/>
    <w:rsid w:val="00092671"/>
    <w:pPr>
      <w:numPr>
        <w:numId w:val="46"/>
      </w:numPr>
      <w:spacing w:before="60"/>
      <w:contextualSpacing/>
    </w:pPr>
    <w:rPr>
      <w:rFonts w:eastAsiaTheme="minorHAnsi"/>
      <w:sz w:val="18"/>
      <w:szCs w:val="16"/>
      <w:lang w:val="en-US" w:eastAsia="en-US"/>
    </w:rPr>
  </w:style>
  <w:style w:type="paragraph" w:customStyle="1" w:styleId="TableFootnoteWide">
    <w:name w:val="Table Footnote Wide"/>
    <w:basedOn w:val="TableFootnote"/>
    <w:uiPriority w:val="21"/>
    <w:rsid w:val="00092671"/>
    <w:pPr>
      <w:numPr>
        <w:numId w:val="41"/>
      </w:numPr>
    </w:pPr>
  </w:style>
  <w:style w:type="paragraph" w:customStyle="1" w:styleId="Notes">
    <w:name w:val="Notes"/>
    <w:basedOn w:val="Normal"/>
    <w:next w:val="Normal"/>
    <w:uiPriority w:val="20"/>
    <w:rsid w:val="00092671"/>
    <w:pPr>
      <w:keepNext/>
      <w:spacing w:before="60"/>
    </w:pPr>
    <w:rPr>
      <w:rFonts w:eastAsiaTheme="minorHAnsi"/>
      <w:sz w:val="18"/>
      <w:szCs w:val="16"/>
      <w:lang w:val="en-US" w:eastAsia="en-US"/>
    </w:rPr>
  </w:style>
  <w:style w:type="paragraph" w:customStyle="1" w:styleId="NotesWide">
    <w:name w:val="Notes Wide"/>
    <w:basedOn w:val="Notes"/>
    <w:next w:val="Normal"/>
    <w:uiPriority w:val="20"/>
    <w:rsid w:val="00092671"/>
    <w:pPr>
      <w:ind w:hanging="1440"/>
    </w:pPr>
    <w:rPr>
      <w:lang w:val="en-CA"/>
    </w:rPr>
  </w:style>
  <w:style w:type="paragraph" w:customStyle="1" w:styleId="TableNumberList">
    <w:name w:val="Table Number List"/>
    <w:basedOn w:val="ListNumber"/>
    <w:uiPriority w:val="17"/>
    <w:qFormat/>
    <w:rsid w:val="00737771"/>
    <w:pPr>
      <w:numPr>
        <w:numId w:val="38"/>
      </w:numPr>
      <w:spacing w:line="240" w:lineRule="auto"/>
    </w:pPr>
    <w:rPr>
      <w:sz w:val="18"/>
    </w:rPr>
  </w:style>
  <w:style w:type="paragraph" w:customStyle="1" w:styleId="TableNumberList2">
    <w:name w:val="Table Number List 2"/>
    <w:basedOn w:val="TableNumberList"/>
    <w:uiPriority w:val="17"/>
    <w:rsid w:val="00737771"/>
    <w:pPr>
      <w:numPr>
        <w:ilvl w:val="1"/>
      </w:numPr>
    </w:pPr>
  </w:style>
  <w:style w:type="paragraph" w:customStyle="1" w:styleId="TableNumberList3">
    <w:name w:val="Table Number List 3"/>
    <w:basedOn w:val="TableNumberList2"/>
    <w:uiPriority w:val="17"/>
    <w:rsid w:val="00737771"/>
    <w:pPr>
      <w:numPr>
        <w:ilvl w:val="2"/>
      </w:numPr>
    </w:pPr>
  </w:style>
  <w:style w:type="numbering" w:customStyle="1" w:styleId="SRKTableFootnotes">
    <w:name w:val="SRK Table Footnotes"/>
    <w:uiPriority w:val="99"/>
    <w:rsid w:val="00AB521A"/>
    <w:pPr>
      <w:numPr>
        <w:numId w:val="39"/>
      </w:numPr>
    </w:pPr>
  </w:style>
  <w:style w:type="numbering" w:customStyle="1" w:styleId="CurrentList4">
    <w:name w:val="Current List4"/>
    <w:uiPriority w:val="99"/>
    <w:rsid w:val="00092671"/>
    <w:pPr>
      <w:numPr>
        <w:numId w:val="43"/>
      </w:numPr>
    </w:pPr>
  </w:style>
  <w:style w:type="numbering" w:customStyle="1" w:styleId="CurrentList5">
    <w:name w:val="Current List5"/>
    <w:uiPriority w:val="99"/>
    <w:rsid w:val="00AB521A"/>
    <w:pPr>
      <w:numPr>
        <w:numId w:val="45"/>
      </w:numPr>
    </w:pPr>
  </w:style>
  <w:style w:type="numbering" w:customStyle="1" w:styleId="SRKTableFootnotesWide">
    <w:name w:val="SRK Table Footnotes Wide"/>
    <w:uiPriority w:val="99"/>
    <w:rsid w:val="00AB521A"/>
    <w:pPr>
      <w:numPr>
        <w:numId w:val="41"/>
      </w:numPr>
    </w:pPr>
  </w:style>
  <w:style w:type="numbering" w:customStyle="1" w:styleId="SRKTableNumberedList">
    <w:name w:val="SRK Table Numbered List"/>
    <w:uiPriority w:val="99"/>
    <w:rsid w:val="00737771"/>
  </w:style>
  <w:style w:type="paragraph" w:customStyle="1" w:styleId="Appx1Cover">
    <w:name w:val="Appx 1 Cover"/>
    <w:basedOn w:val="SectionCover"/>
    <w:next w:val="Normal"/>
    <w:uiPriority w:val="15"/>
    <w:qFormat/>
    <w:rsid w:val="007B48B9"/>
    <w:pPr>
      <w:framePr w:wrap="around"/>
      <w:numPr>
        <w:numId w:val="54"/>
      </w:numPr>
      <w:tabs>
        <w:tab w:val="left" w:pos="2880"/>
      </w:tabs>
    </w:pPr>
    <w:rPr>
      <w:rFonts w:asciiTheme="majorHAnsi" w:hAnsiTheme="majorHAnsi"/>
    </w:rPr>
  </w:style>
  <w:style w:type="paragraph" w:customStyle="1" w:styleId="Appx2Cover">
    <w:name w:val="Appx 2 Cover"/>
    <w:basedOn w:val="Appx1Cover"/>
    <w:next w:val="Normal"/>
    <w:uiPriority w:val="15"/>
    <w:qFormat/>
    <w:rsid w:val="007B48B9"/>
    <w:pPr>
      <w:framePr w:wrap="around"/>
      <w:numPr>
        <w:ilvl w:val="1"/>
      </w:numPr>
      <w:outlineLvl w:val="1"/>
    </w:pPr>
  </w:style>
  <w:style w:type="paragraph" w:customStyle="1" w:styleId="SectionCover">
    <w:name w:val="Section Cover"/>
    <w:basedOn w:val="NoSpacing"/>
    <w:next w:val="Normal"/>
    <w:uiPriority w:val="14"/>
    <w:qFormat/>
    <w:rsid w:val="007B48B9"/>
    <w:pPr>
      <w:pageBreakBefore/>
      <w:framePr w:w="9360" w:wrap="around" w:vAnchor="text" w:hAnchor="page" w:x="1441" w:y="1"/>
      <w:pBdr>
        <w:top w:val="single" w:sz="24" w:space="8" w:color="F37021" w:themeColor="text2"/>
      </w:pBdr>
      <w:spacing w:before="3000" w:after="360" w:line="264" w:lineRule="auto"/>
      <w:ind w:left="2880" w:hanging="2880"/>
      <w:outlineLvl w:val="0"/>
    </w:pPr>
    <w:rPr>
      <w:rFonts w:ascii="Aptos SemiBold" w:hAnsi="Aptos SemiBold"/>
      <w:sz w:val="40"/>
    </w:rPr>
  </w:style>
  <w:style w:type="numbering" w:customStyle="1" w:styleId="SRKAppendices">
    <w:name w:val="SRK Appendices"/>
    <w:uiPriority w:val="99"/>
    <w:rsid w:val="003333CE"/>
  </w:style>
  <w:style w:type="paragraph" w:styleId="TOC2">
    <w:name w:val="toc 2"/>
    <w:basedOn w:val="Normal"/>
    <w:next w:val="Normal"/>
    <w:autoRedefine/>
    <w:uiPriority w:val="39"/>
    <w:rsid w:val="00707C6B"/>
    <w:pPr>
      <w:tabs>
        <w:tab w:val="left" w:pos="1080"/>
        <w:tab w:val="right" w:leader="dot" w:pos="9360"/>
      </w:tabs>
      <w:spacing w:before="0"/>
      <w:ind w:left="1080" w:right="360" w:hanging="1080"/>
    </w:pPr>
    <w:rPr>
      <w:rFonts w:asciiTheme="majorHAnsi" w:hAnsiTheme="majorHAnsi"/>
    </w:rPr>
  </w:style>
  <w:style w:type="paragraph" w:styleId="TOC1">
    <w:name w:val="toc 1"/>
    <w:basedOn w:val="Normal"/>
    <w:next w:val="BodyText"/>
    <w:autoRedefine/>
    <w:uiPriority w:val="39"/>
    <w:rsid w:val="0088485E"/>
    <w:pPr>
      <w:tabs>
        <w:tab w:val="left" w:pos="1080"/>
        <w:tab w:val="right" w:leader="dot" w:pos="9331"/>
      </w:tabs>
      <w:spacing w:before="120"/>
      <w:ind w:left="1080" w:right="360" w:hanging="1080"/>
    </w:pPr>
    <w:rPr>
      <w:rFonts w:asciiTheme="majorHAnsi" w:hAnsiTheme="majorHAnsi"/>
      <w:sz w:val="26"/>
    </w:rPr>
  </w:style>
  <w:style w:type="paragraph" w:styleId="TOC3">
    <w:name w:val="toc 3"/>
    <w:basedOn w:val="Normal"/>
    <w:next w:val="Normal"/>
    <w:autoRedefine/>
    <w:uiPriority w:val="39"/>
    <w:rsid w:val="00707C6B"/>
    <w:pPr>
      <w:tabs>
        <w:tab w:val="left" w:pos="1080"/>
        <w:tab w:val="right" w:leader="dot" w:pos="9331"/>
      </w:tabs>
      <w:spacing w:before="0"/>
      <w:ind w:left="1080" w:hanging="1080"/>
    </w:pPr>
  </w:style>
  <w:style w:type="character" w:styleId="Hyperlink">
    <w:name w:val="Hyperlink"/>
    <w:basedOn w:val="DefaultParagraphFont"/>
    <w:uiPriority w:val="99"/>
    <w:rsid w:val="003333CE"/>
    <w:rPr>
      <w:color w:val="F37021" w:themeColor="hyperlink"/>
      <w:u w:val="single"/>
    </w:rPr>
  </w:style>
  <w:style w:type="paragraph" w:customStyle="1" w:styleId="Definitions">
    <w:name w:val="Definitions"/>
    <w:basedOn w:val="BodyText"/>
    <w:link w:val="DefinitionsChar"/>
    <w:uiPriority w:val="1"/>
    <w:rsid w:val="00200BE5"/>
    <w:pPr>
      <w:spacing w:before="0"/>
    </w:pPr>
    <w:rPr>
      <w:sz w:val="18"/>
    </w:rPr>
  </w:style>
  <w:style w:type="character" w:customStyle="1" w:styleId="DefinitionsChar">
    <w:name w:val="Definitions Char"/>
    <w:basedOn w:val="BodyTextChar"/>
    <w:link w:val="Definitions"/>
    <w:uiPriority w:val="1"/>
    <w:rsid w:val="00200BE5"/>
    <w:rPr>
      <w:rFonts w:eastAsiaTheme="minorHAnsi"/>
      <w:sz w:val="18"/>
      <w:lang w:val="en-CA" w:eastAsia="en-US"/>
    </w:rPr>
  </w:style>
  <w:style w:type="paragraph" w:styleId="TOC4">
    <w:name w:val="toc 4"/>
    <w:basedOn w:val="Normal"/>
    <w:next w:val="Normal"/>
    <w:autoRedefine/>
    <w:uiPriority w:val="39"/>
    <w:rsid w:val="00707C6B"/>
    <w:pPr>
      <w:tabs>
        <w:tab w:val="left" w:pos="1080"/>
        <w:tab w:val="right" w:leader="dot" w:pos="9360"/>
      </w:tabs>
      <w:spacing w:before="120"/>
      <w:ind w:left="1080" w:right="360" w:hanging="1080"/>
      <w:contextualSpacing/>
    </w:pPr>
    <w:rPr>
      <w:sz w:val="18"/>
    </w:rPr>
  </w:style>
  <w:style w:type="paragraph" w:customStyle="1" w:styleId="BodyTextNoIndent">
    <w:name w:val="Body Text No Indent"/>
    <w:basedOn w:val="BodyText"/>
    <w:link w:val="BodyTextNoIndentChar"/>
    <w:uiPriority w:val="3"/>
    <w:semiHidden/>
    <w:qFormat/>
    <w:rsid w:val="00D36674"/>
    <w:pPr>
      <w:spacing w:before="0" w:after="200" w:line="259" w:lineRule="auto"/>
    </w:pPr>
    <w:rPr>
      <w:color w:val="auto"/>
    </w:rPr>
  </w:style>
  <w:style w:type="character" w:customStyle="1" w:styleId="BodyTextNoIndentChar">
    <w:name w:val="Body Text No Indent Char"/>
    <w:basedOn w:val="BodyTextChar"/>
    <w:link w:val="BodyTextNoIndent"/>
    <w:uiPriority w:val="3"/>
    <w:semiHidden/>
    <w:rsid w:val="00C70024"/>
    <w:rPr>
      <w:rFonts w:eastAsiaTheme="minorHAnsi"/>
      <w:color w:val="auto"/>
      <w:lang w:val="en-CA" w:eastAsia="en-US"/>
    </w:rPr>
  </w:style>
  <w:style w:type="paragraph" w:styleId="TableofFigures">
    <w:name w:val="table of figures"/>
    <w:next w:val="BodyTextNoIndent"/>
    <w:uiPriority w:val="99"/>
    <w:semiHidden/>
    <w:rsid w:val="00E551ED"/>
    <w:pPr>
      <w:tabs>
        <w:tab w:val="left" w:pos="1080"/>
        <w:tab w:val="right" w:leader="dot" w:pos="9360"/>
      </w:tabs>
      <w:spacing w:before="0"/>
      <w:ind w:left="1080" w:right="360" w:hanging="1080"/>
      <w:contextualSpacing/>
    </w:pPr>
    <w:rPr>
      <w:rFonts w:eastAsiaTheme="minorHAnsi"/>
      <w:sz w:val="18"/>
      <w:lang w:val="en-US" w:eastAsia="en-US"/>
    </w:rPr>
  </w:style>
  <w:style w:type="paragraph" w:customStyle="1" w:styleId="TOCHeading2">
    <w:name w:val="TOC Heading 2"/>
    <w:basedOn w:val="TOC3Heading"/>
    <w:next w:val="BodyTextNoIndent"/>
    <w:uiPriority w:val="39"/>
    <w:semiHidden/>
    <w:rsid w:val="0088485E"/>
    <w:pPr>
      <w:keepNext w:val="0"/>
      <w:outlineLvl w:val="1"/>
    </w:pPr>
    <w:rPr>
      <w:rFonts w:ascii="Aptos SemiBold" w:hAnsi="Aptos SemiBold"/>
      <w:sz w:val="28"/>
      <w:lang w:val="en-CA"/>
    </w:rPr>
  </w:style>
  <w:style w:type="paragraph" w:customStyle="1" w:styleId="TOC4Heading">
    <w:name w:val="−TOC 4 Heading"/>
    <w:basedOn w:val="TOC3Heading"/>
    <w:next w:val="Normal"/>
    <w:uiPriority w:val="9"/>
    <w:qFormat/>
    <w:rsid w:val="00707C6B"/>
    <w:pPr>
      <w:outlineLvl w:val="3"/>
    </w:pPr>
    <w:rPr>
      <w:sz w:val="22"/>
    </w:rPr>
  </w:style>
  <w:style w:type="character" w:styleId="UnresolvedMention">
    <w:name w:val="Unresolved Mention"/>
    <w:basedOn w:val="DefaultParagraphFont"/>
    <w:uiPriority w:val="99"/>
    <w:semiHidden/>
    <w:unhideWhenUsed/>
    <w:rsid w:val="00204AEE"/>
    <w:rPr>
      <w:color w:val="605E5C"/>
      <w:shd w:val="clear" w:color="auto" w:fill="E1DFDD"/>
    </w:rPr>
  </w:style>
  <w:style w:type="paragraph" w:styleId="TOC5">
    <w:name w:val="toc 5"/>
    <w:basedOn w:val="Normal"/>
    <w:next w:val="Normal"/>
    <w:autoRedefine/>
    <w:uiPriority w:val="39"/>
    <w:rsid w:val="00707C6B"/>
    <w:pPr>
      <w:spacing w:before="120"/>
      <w:ind w:right="360"/>
    </w:pPr>
  </w:style>
  <w:style w:type="paragraph" w:customStyle="1" w:styleId="Hidden">
    <w:name w:val="Hidden"/>
    <w:next w:val="NoSpacing"/>
    <w:uiPriority w:val="27"/>
    <w:semiHidden/>
    <w:rsid w:val="00BC4D0D"/>
    <w:pPr>
      <w:framePr w:wrap="around" w:vAnchor="page" w:hAnchor="page" w:xAlign="right" w:yAlign="top" w:anchorLock="1"/>
      <w:spacing w:before="0" w:line="240" w:lineRule="auto"/>
      <w:outlineLvl w:val="0"/>
    </w:pPr>
    <w:rPr>
      <w:rFonts w:eastAsiaTheme="minorHAnsi"/>
      <w:color w:val="FFFFFF" w:themeColor="background1"/>
      <w:sz w:val="16"/>
      <w:lang w:val="en-US" w:eastAsia="en-US"/>
    </w:rPr>
  </w:style>
  <w:style w:type="character" w:styleId="CommentReference">
    <w:name w:val="annotation reference"/>
    <w:basedOn w:val="DefaultParagraphFont"/>
    <w:uiPriority w:val="99"/>
    <w:semiHidden/>
    <w:unhideWhenUsed/>
    <w:rsid w:val="001F05BE"/>
    <w:rPr>
      <w:sz w:val="16"/>
      <w:szCs w:val="16"/>
    </w:rPr>
  </w:style>
  <w:style w:type="paragraph" w:styleId="CommentText">
    <w:name w:val="annotation text"/>
    <w:basedOn w:val="Normal"/>
    <w:link w:val="CommentTextChar"/>
    <w:uiPriority w:val="99"/>
    <w:unhideWhenUsed/>
    <w:rsid w:val="001F05BE"/>
    <w:pPr>
      <w:spacing w:line="240" w:lineRule="auto"/>
    </w:pPr>
    <w:rPr>
      <w:sz w:val="20"/>
      <w:szCs w:val="20"/>
    </w:rPr>
  </w:style>
  <w:style w:type="character" w:customStyle="1" w:styleId="CommentTextChar">
    <w:name w:val="Comment Text Char"/>
    <w:basedOn w:val="DefaultParagraphFont"/>
    <w:link w:val="CommentText"/>
    <w:uiPriority w:val="99"/>
    <w:rsid w:val="001F05BE"/>
    <w:rPr>
      <w:sz w:val="20"/>
      <w:szCs w:val="20"/>
      <w:lang w:val="en-CA"/>
    </w:rPr>
  </w:style>
  <w:style w:type="paragraph" w:styleId="CommentSubject">
    <w:name w:val="annotation subject"/>
    <w:basedOn w:val="CommentText"/>
    <w:next w:val="CommentText"/>
    <w:link w:val="CommentSubjectChar"/>
    <w:uiPriority w:val="99"/>
    <w:semiHidden/>
    <w:unhideWhenUsed/>
    <w:rsid w:val="001F05BE"/>
    <w:rPr>
      <w:b/>
      <w:bCs/>
    </w:rPr>
  </w:style>
  <w:style w:type="character" w:customStyle="1" w:styleId="CommentSubjectChar">
    <w:name w:val="Comment Subject Char"/>
    <w:basedOn w:val="CommentTextChar"/>
    <w:link w:val="CommentSubject"/>
    <w:uiPriority w:val="99"/>
    <w:semiHidden/>
    <w:rsid w:val="001F05BE"/>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03268">
      <w:bodyDiv w:val="1"/>
      <w:marLeft w:val="0"/>
      <w:marRight w:val="0"/>
      <w:marTop w:val="0"/>
      <w:marBottom w:val="0"/>
      <w:divBdr>
        <w:top w:val="none" w:sz="0" w:space="0" w:color="auto"/>
        <w:left w:val="none" w:sz="0" w:space="0" w:color="auto"/>
        <w:bottom w:val="none" w:sz="0" w:space="0" w:color="auto"/>
        <w:right w:val="none" w:sz="0" w:space="0" w:color="auto"/>
      </w:divBdr>
    </w:div>
    <w:div w:id="203117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50" Type="http://schemas.openxmlformats.org/officeDocument/2006/relationships/hyperlink" Target="https://aees.org.au/wp-content/uploads/2018/02/13-Dimas-Gibson.pdf" TargetMode="External"/><Relationship Id="rId39" Type="http://schemas.openxmlformats.org/officeDocument/2006/relationships/hyperlink" Target="https://ancold.org.au" TargetMode="External"/><Relationship Id="rId54" Type="http://schemas.openxmlformats.org/officeDocument/2006/relationships/hyperlink" Target="https://doi.org/10.1007/s10518-020-00966-1" TargetMode="External"/><Relationship Id="rId57" Type="http://schemas.openxmlformats.org/officeDocument/2006/relationships/hyperlink" Target="https://doi.org/10.1007/s11069-015-2117-8" TargetMode="External"/><Relationship Id="rId67" Type="http://schemas.openxmlformats.org/officeDocument/2006/relationships/hyperlink" Target="https://doi.org/10.1029/2021GL093001" TargetMode="External"/><Relationship Id="rId61" Type="http://schemas.openxmlformats.org/officeDocument/2006/relationships/hyperlink" Target="https://doi.org/10.1177/8755293020938894" TargetMode="External"/><Relationship Id="rId33" Type="http://schemas.openxmlformats.org/officeDocument/2006/relationships/hyperlink" Target="https://doi.org/10.1193/062913EQS197M" TargetMode="External"/><Relationship Id="rId41" Type="http://schemas.openxmlformats.org/officeDocument/2006/relationships/hyperlink" Target="https://doi.org/10.1193/1.4000079" TargetMode="External"/><Relationship Id="rId43" Type="http://schemas.openxmlformats.org/officeDocument/2006/relationships/hyperlink" Target="https://doi.org/10.1785/0220140208" TargetMode="External"/><Relationship Id="rId63" Type="http://schemas.openxmlformats.org/officeDocument/2006/relationships/hyperlink" Target="https://earthquake.usgs.gov/earthquakes/eventpage/usp000fbad/executive" TargetMode="External"/><Relationship Id="rId20" Type="http://schemas.openxmlformats.org/officeDocument/2006/relationships/hyperlink" Target="https://hazard.openquake.org/gem/pdf/png-report.pdf" TargetMode="External"/><Relationship Id="rId35" Type="http://schemas.openxmlformats.org/officeDocument/2006/relationships/hyperlink" Target="https://peer.berkeley.edu/sites/default/files/abrahamson_bc_hydro_subduction_gmpe_peer2018.pdf" TargetMode="External"/><Relationship Id="rId37" Type="http://schemas.openxmlformats.org/officeDocument/2006/relationships/hyperlink" Target="https://www.bchydro.com/content/dam/BCHydro/customer-portal/documents/projects/ground-motion-prediction-equations.pdf" TargetMode="External"/><Relationship Id="rId52" Type="http://schemas.openxmlformats.org/officeDocument/2006/relationships/hyperlink" Target="https://www.fema.gov" TargetMode="External"/><Relationship Id="rId22" Type="http://schemas.openxmlformats.org/officeDocument/2006/relationships/hyperlink" Target="https://www.globalquakemodel.org/product/papua-new-guinea-hazard" TargetMode="External"/><Relationship Id="rId65" Type="http://schemas.openxmlformats.org/officeDocument/2006/relationships/hyperlink" Target="https://www.nrc.gov/docs/ML1211/ML12118A445.pdf" TargetMode="External"/><Relationship Id="rId47" Type="http://schemas.openxmlformats.org/officeDocument/2006/relationships/hyperlink" Target="https://www.ussdams.org/resource-center/publications/" TargetMode="External"/></Relationships>
</file>

<file path=word/_rels/footnotes.xml.rels><?xml version='1.0' encoding='UTF-8' standalone='yes'?>
<Relationships xmlns="http://schemas.openxmlformats.org/package/2006/relationships"><Relationship Id="rId50" Type="http://schemas.openxmlformats.org/officeDocument/2006/relationships/hyperlink" Target="https://aees.org.au/wp-content/uploads/2018/02/13-Dimas-Gibson.pdf" TargetMode="External"/><Relationship Id="rId39" Type="http://schemas.openxmlformats.org/officeDocument/2006/relationships/hyperlink" Target="https://ancold.org.au" TargetMode="External"/><Relationship Id="rId54" Type="http://schemas.openxmlformats.org/officeDocument/2006/relationships/hyperlink" Target="https://doi.org/10.1007/s10518-020-00966-1" TargetMode="External"/><Relationship Id="rId57" Type="http://schemas.openxmlformats.org/officeDocument/2006/relationships/hyperlink" Target="https://doi.org/10.1007/s11069-015-2117-8" TargetMode="External"/><Relationship Id="rId67" Type="http://schemas.openxmlformats.org/officeDocument/2006/relationships/hyperlink" Target="https://doi.org/10.1029/2021GL093001" TargetMode="External"/><Relationship Id="rId61" Type="http://schemas.openxmlformats.org/officeDocument/2006/relationships/hyperlink" Target="https://doi.org/10.1177/8755293020938894" TargetMode="External"/><Relationship Id="rId33" Type="http://schemas.openxmlformats.org/officeDocument/2006/relationships/hyperlink" Target="https://doi.org/10.1193/062913EQS197M" TargetMode="External"/><Relationship Id="rId41" Type="http://schemas.openxmlformats.org/officeDocument/2006/relationships/hyperlink" Target="https://doi.org/10.1193/1.4000079" TargetMode="External"/><Relationship Id="rId43" Type="http://schemas.openxmlformats.org/officeDocument/2006/relationships/hyperlink" Target="https://doi.org/10.1785/0220140208" TargetMode="External"/><Relationship Id="rId63" Type="http://schemas.openxmlformats.org/officeDocument/2006/relationships/hyperlink" Target="https://earthquake.usgs.gov/earthquakes/eventpage/usp000fbad/executive" TargetMode="External"/><Relationship Id="rId20" Type="http://schemas.openxmlformats.org/officeDocument/2006/relationships/hyperlink" Target="https://hazard.openquake.org/gem/pdf/png-report.pdf" TargetMode="External"/><Relationship Id="rId35" Type="http://schemas.openxmlformats.org/officeDocument/2006/relationships/hyperlink" Target="https://peer.berkeley.edu/sites/default/files/abrahamson_bc_hydro_subduction_gmpe_peer2018.pdf" TargetMode="External"/><Relationship Id="rId37" Type="http://schemas.openxmlformats.org/officeDocument/2006/relationships/hyperlink" Target="https://www.bchydro.com/content/dam/BCHydro/customer-portal/documents/projects/ground-motion-prediction-equations.pdf" TargetMode="External"/><Relationship Id="rId52" Type="http://schemas.openxmlformats.org/officeDocument/2006/relationships/hyperlink" Target="https://www.fema.gov" TargetMode="External"/><Relationship Id="rId22" Type="http://schemas.openxmlformats.org/officeDocument/2006/relationships/hyperlink" Target="https://www.globalquakemodel.org/product/papua-new-guinea-hazard" TargetMode="External"/><Relationship Id="rId65" Type="http://schemas.openxmlformats.org/officeDocument/2006/relationships/hyperlink" Target="https://www.nrc.gov/docs/ML1211/ML12118A445.pdf" TargetMode="External"/><Relationship Id="rId47" Type="http://schemas.openxmlformats.org/officeDocument/2006/relationships/hyperlink" Target="https://www.ussdams.org/resource-center/public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verrik/Documents/docx/Report%20A_BETA_20250312_No%20Emblems_CCL.dotx" TargetMode="External"/></Relationships>
</file>

<file path=word/theme/theme1.xml><?xml version="1.0" encoding="utf-8"?>
<a:theme xmlns:a="http://schemas.openxmlformats.org/drawingml/2006/main" name="Office Theme">
  <a:themeElements>
    <a:clrScheme name="SRK 2024">
      <a:dk1>
        <a:sysClr val="windowText" lastClr="000000"/>
      </a:dk1>
      <a:lt1>
        <a:sysClr val="window" lastClr="FFFFFF"/>
      </a:lt1>
      <a:dk2>
        <a:srgbClr val="F37021"/>
      </a:dk2>
      <a:lt2>
        <a:srgbClr val="E8E8E8"/>
      </a:lt2>
      <a:accent1>
        <a:srgbClr val="156082"/>
      </a:accent1>
      <a:accent2>
        <a:srgbClr val="AEAEAE"/>
      </a:accent2>
      <a:accent3>
        <a:srgbClr val="196B24"/>
      </a:accent3>
      <a:accent4>
        <a:srgbClr val="0F9ED5"/>
      </a:accent4>
      <a:accent5>
        <a:srgbClr val="A02B93"/>
      </a:accent5>
      <a:accent6>
        <a:srgbClr val="4EA72E"/>
      </a:accent6>
      <a:hlink>
        <a:srgbClr val="F37021"/>
      </a:hlink>
      <a:folHlink>
        <a:srgbClr val="7F7F7F"/>
      </a:folHlink>
    </a:clrScheme>
    <a:fontScheme name="SRK 2024">
      <a:majorFont>
        <a:latin typeface="Aptos SemiBold"/>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Report A_BETA_20250312_No Emblems_CCL.dotx</Template>
  <TotalTime>1</TotalTime>
  <Pages>4</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Probabilistic Seismic Hazard Assessment</dc:title>
  <dc:creator/>
  <cp:keywords/>
  <dcterms:created xsi:type="dcterms:W3CDTF">2025-08-15T22:15:22Z</dcterms:created>
  <dcterms:modified xsi:type="dcterms:W3CDTF">2025-08-15T22:15:22Z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rams">
    <vt:lpwstr/>
  </property>
  <property fmtid="{D5CDD505-2E9C-101B-9397-08002B2CF9AE}" pid="11" name="subtitle">
    <vt:lpwstr>Iduapriem Gold Mine, Ghana</vt:lpwstr>
  </property>
  <property fmtid="{D5CDD505-2E9C-101B-9397-08002B2CF9AE}" pid="12" name="template-partials">
    <vt:lpwstr/>
  </property>
  <property fmtid="{D5CDD505-2E9C-101B-9397-08002B2CF9AE}" pid="13" name="toc-title">
    <vt:lpwstr>Table of Contents</vt:lpwstr>
  </property>
</Properties>
</file>