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3"/>
        <w:gridCol w:w="2959"/>
      </w:tblGrid>
      <w:tr w:rsidR="00A80457" w:rsidRPr="009E2092" w14:paraId="2706097D" w14:textId="77777777" w:rsidTr="00507009">
        <w:tc>
          <w:tcPr>
            <w:tcW w:w="6663" w:type="dxa"/>
          </w:tcPr>
          <w:p w14:paraId="322E089B" w14:textId="77777777" w:rsidR="00674187" w:rsidRPr="00674187" w:rsidRDefault="00674187" w:rsidP="00674187">
            <w:pPr>
              <w:spacing w:after="160" w:line="259" w:lineRule="auto"/>
              <w:rPr>
                <w:b/>
                <w:bCs/>
                <w:sz w:val="28"/>
                <w:szCs w:val="28"/>
              </w:rPr>
            </w:pPr>
            <w:r w:rsidRPr="00674187">
              <w:rPr>
                <w:b/>
                <w:bCs/>
                <w:sz w:val="28"/>
                <w:szCs w:val="28"/>
              </w:rPr>
              <w:t>Performance-based seismic design framework for the preliminary dynamic stability assessment</w:t>
            </w:r>
          </w:p>
          <w:p w14:paraId="665AD986" w14:textId="77777777" w:rsidR="00D45F29" w:rsidRPr="002B2019" w:rsidRDefault="00D45F29" w:rsidP="00D45F29">
            <w:pPr>
              <w:pStyle w:val="AuthorNames"/>
            </w:pPr>
            <w:r w:rsidRPr="002B2019">
              <w:rPr>
                <w:lang w:val="fr-FR"/>
              </w:rPr>
              <w:t>Jean-Fran</w:t>
            </w:r>
            <w:r>
              <w:rPr>
                <w:lang w:val="fr-CA"/>
              </w:rPr>
              <w:t>ç</w:t>
            </w:r>
            <w:r w:rsidRPr="002B2019">
              <w:rPr>
                <w:lang w:val="fr-FR"/>
              </w:rPr>
              <w:t xml:space="preserve">ois St-Laurent, ing. </w:t>
            </w:r>
            <w:r w:rsidRPr="002B2019">
              <w:t>PEng. (On), M.Sc.</w:t>
            </w:r>
          </w:p>
          <w:p w14:paraId="4657E875" w14:textId="77777777" w:rsidR="00D45F29" w:rsidRPr="002B2019" w:rsidRDefault="00D45F29" w:rsidP="00D45F29">
            <w:pPr>
              <w:pStyle w:val="Abstract"/>
              <w:rPr>
                <w:i/>
                <w:sz w:val="20"/>
              </w:rPr>
            </w:pPr>
            <w:r w:rsidRPr="002B2019">
              <w:rPr>
                <w:i/>
                <w:sz w:val="20"/>
              </w:rPr>
              <w:t>SRK Consulting, Québec City, Qc., Canada</w:t>
            </w:r>
          </w:p>
          <w:p w14:paraId="357DB73B" w14:textId="2B77D7EF" w:rsidR="00D45F29" w:rsidRPr="009E2092" w:rsidRDefault="00D45F29" w:rsidP="00D45F29">
            <w:pPr>
              <w:pStyle w:val="AuthorNames"/>
              <w:rPr>
                <w:highlight w:val="yellow"/>
                <w:lang w:val="pt-BR"/>
              </w:rPr>
            </w:pPr>
            <w:r w:rsidRPr="009E2092">
              <w:rPr>
                <w:highlight w:val="yellow"/>
                <w:lang w:val="pt-BR"/>
              </w:rPr>
              <w:t xml:space="preserve">Dr. </w:t>
            </w:r>
            <w:r w:rsidR="0000302E" w:rsidRPr="009E2092">
              <w:rPr>
                <w:highlight w:val="yellow"/>
                <w:lang w:val="pt-BR"/>
              </w:rPr>
              <w:t>Al</w:t>
            </w:r>
            <w:r w:rsidR="009E2092" w:rsidRPr="009E2092">
              <w:rPr>
                <w:highlight w:val="yellow"/>
                <w:lang w:val="pt-BR"/>
              </w:rPr>
              <w:t>ejandro Verri</w:t>
            </w:r>
          </w:p>
          <w:p w14:paraId="32EB2D66" w14:textId="425565EE" w:rsidR="00D45F29" w:rsidRPr="009E2092" w:rsidRDefault="00D45F29" w:rsidP="00D45F29">
            <w:pPr>
              <w:pStyle w:val="AuthorAffliation"/>
            </w:pPr>
            <w:r w:rsidRPr="009E2092">
              <w:rPr>
                <w:highlight w:val="yellow"/>
              </w:rPr>
              <w:t>SRK Consulting,</w:t>
            </w:r>
            <w:r w:rsidR="009E2092" w:rsidRPr="009E2092">
              <w:rPr>
                <w:highlight w:val="yellow"/>
              </w:rPr>
              <w:t xml:space="preserve"> Mendoza</w:t>
            </w:r>
            <w:r w:rsidRPr="009E2092">
              <w:rPr>
                <w:highlight w:val="yellow"/>
              </w:rPr>
              <w:t xml:space="preserve">, </w:t>
            </w:r>
            <w:r w:rsidR="009E2092" w:rsidRPr="009E2092">
              <w:rPr>
                <w:highlight w:val="yellow"/>
              </w:rPr>
              <w:t>XX</w:t>
            </w:r>
            <w:r w:rsidRPr="009E2092">
              <w:rPr>
                <w:highlight w:val="yellow"/>
              </w:rPr>
              <w:t xml:space="preserve">., </w:t>
            </w:r>
            <w:r w:rsidR="009E2092" w:rsidRPr="009E2092">
              <w:rPr>
                <w:highlight w:val="yellow"/>
              </w:rPr>
              <w:t>Argentina</w:t>
            </w:r>
          </w:p>
          <w:p w14:paraId="189BBD64" w14:textId="77777777" w:rsidR="00E96B7F" w:rsidRPr="009E2092" w:rsidRDefault="00E96B7F" w:rsidP="00A80457">
            <w:pPr>
              <w:pStyle w:val="AuthorAffliation"/>
            </w:pPr>
          </w:p>
          <w:p w14:paraId="7BB7C04E" w14:textId="0E4A37D8" w:rsidR="00A80457" w:rsidRPr="009E2092" w:rsidRDefault="00A80457" w:rsidP="00C82947">
            <w:pPr>
              <w:pStyle w:val="AuthorAffliation"/>
              <w:rPr>
                <w:rFonts w:cs="Arial"/>
                <w:caps/>
                <w:color w:val="000000"/>
              </w:rPr>
            </w:pPr>
          </w:p>
        </w:tc>
        <w:tc>
          <w:tcPr>
            <w:tcW w:w="2959" w:type="dxa"/>
          </w:tcPr>
          <w:p w14:paraId="535961B4" w14:textId="5E825211" w:rsidR="00A80457" w:rsidRPr="009E2092" w:rsidRDefault="00A80457" w:rsidP="00A80457">
            <w:pPr>
              <w:pStyle w:val="PaperTitle"/>
              <w:spacing w:after="0"/>
              <w:jc w:val="center"/>
              <w:rPr>
                <w:rFonts w:cs="Arial"/>
                <w:caps w:val="0"/>
                <w:color w:val="000000"/>
                <w:lang w:val="en-US"/>
              </w:rPr>
            </w:pPr>
            <w:r>
              <w:rPr>
                <w:noProof/>
              </w:rPr>
              <w:drawing>
                <wp:anchor distT="0" distB="0" distL="114300" distR="114300" simplePos="0" relativeHeight="251658240" behindDoc="0" locked="0" layoutInCell="1" allowOverlap="1" wp14:anchorId="48933ABB" wp14:editId="19860311">
                  <wp:simplePos x="0" y="0"/>
                  <wp:positionH relativeFrom="column">
                    <wp:posOffset>78110</wp:posOffset>
                  </wp:positionH>
                  <wp:positionV relativeFrom="paragraph">
                    <wp:posOffset>523</wp:posOffset>
                  </wp:positionV>
                  <wp:extent cx="1910593" cy="719455"/>
                  <wp:effectExtent l="0" t="0" r="0" b="4445"/>
                  <wp:wrapSquare wrapText="bothSides"/>
                  <wp:docPr id="4599240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69" r="-1269"/>
                          <a:stretch>
                            <a:fillRect/>
                          </a:stretch>
                        </pic:blipFill>
                        <pic:spPr bwMode="auto">
                          <a:xfrm>
                            <a:off x="0" y="0"/>
                            <a:ext cx="191204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799DB7A6" w14:textId="77777777" w:rsidR="000A2EAD" w:rsidRDefault="000A2EAD">
      <w:pPr>
        <w:pStyle w:val="Abstract"/>
        <w:rPr>
          <w:lang w:val="en-US"/>
        </w:rPr>
      </w:pPr>
      <w:r>
        <w:rPr>
          <w:lang w:val="en-US"/>
        </w:rPr>
        <w:t>ABSTRACT</w:t>
      </w:r>
    </w:p>
    <w:p w14:paraId="48079A54" w14:textId="77777777" w:rsidR="00F208B1" w:rsidRDefault="00F208B1" w:rsidP="006F47E5"/>
    <w:p w14:paraId="59275CF4" w14:textId="77777777" w:rsidR="007637EF" w:rsidRDefault="0023530E" w:rsidP="00F208B1">
      <w:r w:rsidRPr="0023530E">
        <w:t xml:space="preserve">This paper presents a performance-based seismic design framework for the preliminary dynamic stability assessment of embankments constructed on soft, sensitive foundations such as varved glaciolacustrine clay. Where regulations require reclaimed tailings impoundments to withstand the Maximum Credible Earthquake (MCE) without loss of containment, robust screening methods become essential—particularly when available geotechnical data are limited. </w:t>
      </w:r>
    </w:p>
    <w:p w14:paraId="02CCEA17" w14:textId="77777777" w:rsidR="007637EF" w:rsidRDefault="0023530E" w:rsidP="00F208B1">
      <w:r w:rsidRPr="0023530E">
        <w:t xml:space="preserve">The framework integrates targeted and comprehensive site and laboratory investigations, inputs from coupled limit equilibrium and finite element seepage stability analyses, and discuss importance of performing screening-level liquefaction assessments as part of the process. A core element is the calibration of seismic coefficients to specific performance criteria, especially restricting predicted permanent deformations to acceptable levels under design-level earthquakes. </w:t>
      </w:r>
    </w:p>
    <w:p w14:paraId="123285E1" w14:textId="41E82B2B" w:rsidR="00F208B1" w:rsidRPr="006E7D52" w:rsidRDefault="0023530E" w:rsidP="00F208B1">
      <w:r w:rsidRPr="0023530E">
        <w:t>By explicitly accounting for uncertainties from site amplification and material property variability, the methodology produces mean values and error estimates for seismic design parameters. The proposed framework demonstrates that performance-based seismic design can be reliably applied in early project stages to support compliance and inform risk management for tailings impoundments, even in contexts with limited data.</w:t>
      </w:r>
    </w:p>
    <w:p w14:paraId="49156094" w14:textId="77777777" w:rsidR="00F208B1" w:rsidRDefault="00F208B1" w:rsidP="006F47E5"/>
    <w:p w14:paraId="2E414D93" w14:textId="477F1580" w:rsidR="003A6EBF" w:rsidRPr="0069010F" w:rsidRDefault="00281A24" w:rsidP="00D35620">
      <w:pPr>
        <w:rPr>
          <w:lang w:val="fr-FR"/>
        </w:rPr>
      </w:pPr>
      <w:r w:rsidRPr="0069010F">
        <w:rPr>
          <w:lang w:val="fr-FR"/>
        </w:rPr>
        <w:t>RESUME</w:t>
      </w:r>
    </w:p>
    <w:p w14:paraId="58DBCD44" w14:textId="77777777" w:rsidR="00281A24" w:rsidRPr="0069010F" w:rsidRDefault="00281A24" w:rsidP="00D35620">
      <w:pPr>
        <w:rPr>
          <w:lang w:val="fr-FR"/>
        </w:rPr>
      </w:pPr>
    </w:p>
    <w:p w14:paraId="413DD596" w14:textId="2B0CA4FD" w:rsidR="00CD1678" w:rsidRPr="00CD1678" w:rsidRDefault="00CD1678" w:rsidP="00CD1678">
      <w:pPr>
        <w:rPr>
          <w:lang w:val="fr-FR"/>
        </w:rPr>
      </w:pPr>
      <w:r w:rsidRPr="00CD1678">
        <w:rPr>
          <w:lang w:val="fr-FR"/>
        </w:rPr>
        <w:t>Cet article présente un cadre de conception sismique basé sur la performance pour l’évaluation préliminaire de la stabilité dynamique des digues construites sur des fondations molles et sensibles, telles que les argiles varvées glaciolacustres. Lorsque la réglementation exige que les parcs à résidus réhabilités résistent au séisme maximal crédible (SMC) sans perte de confinement, des méthodes de vérification robustes deviennent essentielles, en particulier lorsque les données géotechniques disponibles sont limitées.</w:t>
      </w:r>
    </w:p>
    <w:p w14:paraId="7DDE6A72" w14:textId="77777777" w:rsidR="00CD1678" w:rsidRPr="00CD1678" w:rsidRDefault="00CD1678" w:rsidP="00CD1678">
      <w:pPr>
        <w:rPr>
          <w:lang w:val="fr-FR"/>
        </w:rPr>
      </w:pPr>
      <w:r w:rsidRPr="00CD1678">
        <w:rPr>
          <w:lang w:val="fr-FR"/>
        </w:rPr>
        <w:t>Le cadre intègre des investigations ciblées et complètes sur le site et en laboratoire, les résultats d’analyses de stabilité par équilibre limite et éléments finis couplées avec l’écoulement, et souligne l’importance de réaliser des analyses de liquéfaction de type dépistage (screening) dans le cadre du processus. Un élément central est l’étalonnage des coefficients sismiques en fonction de critères de performance spécifiques, notamment la limitation des déformations permanentes prédites à des niveaux acceptables sous les séismes de dimensionnement.</w:t>
      </w:r>
    </w:p>
    <w:p w14:paraId="55B38ED5" w14:textId="1B9CFFC2" w:rsidR="00353520" w:rsidRPr="00630AA8" w:rsidRDefault="00CD1678" w:rsidP="00CD1678">
      <w:pPr>
        <w:rPr>
          <w:lang w:val="fr-FR"/>
        </w:rPr>
      </w:pPr>
      <w:r w:rsidRPr="00CD1678">
        <w:rPr>
          <w:lang w:val="fr-FR"/>
        </w:rPr>
        <w:t>En tenant explicitement compte des incertitudes liées à l’amplification de site et à la variabilité des propriétés des matériaux, la méthodologie fournit des valeurs moyennes ainsi que des estimations d’erreur pour les paramètres de conception sismique. Le cadre proposé démontre qu’une conception sismique basée sur la performance peut être appliquée de manière fiable aux premières étapes d’un projet pour soutenir la conformité réglementaire et éclairer la gestion des risques des parcs à résidus, même dans des contextes où les données sont limitées</w:t>
      </w:r>
      <w:r w:rsidR="00353520" w:rsidRPr="00630AA8">
        <w:rPr>
          <w:lang w:val="fr-FR"/>
        </w:rPr>
        <w:t>.</w:t>
      </w:r>
    </w:p>
    <w:p w14:paraId="5D0E6FFA" w14:textId="77777777" w:rsidR="00281A24" w:rsidRPr="00353520" w:rsidRDefault="00281A24" w:rsidP="00D35620">
      <w:pPr>
        <w:rPr>
          <w:lang w:val="fr-FR"/>
        </w:rPr>
      </w:pPr>
    </w:p>
    <w:p w14:paraId="75258A27" w14:textId="77777777" w:rsidR="00281A24" w:rsidRPr="00D35620" w:rsidRDefault="00281A24" w:rsidP="00D35620">
      <w:pPr>
        <w:rPr>
          <w:lang w:val="fr-CA"/>
        </w:rPr>
      </w:pPr>
    </w:p>
    <w:p w14:paraId="1A49C3FE" w14:textId="77777777" w:rsidR="000A2EAD" w:rsidRPr="00D35620" w:rsidRDefault="000A2EAD">
      <w:pPr>
        <w:rPr>
          <w:lang w:val="fr-CA"/>
        </w:rPr>
      </w:pPr>
    </w:p>
    <w:p w14:paraId="1AF0AB9C" w14:textId="77777777" w:rsidR="001377E1" w:rsidRPr="00D35620" w:rsidRDefault="001377E1">
      <w:pPr>
        <w:rPr>
          <w:lang w:val="fr-CA"/>
        </w:rPr>
        <w:sectPr w:rsidR="001377E1" w:rsidRPr="00D35620" w:rsidSect="00FA4849">
          <w:pgSz w:w="12240" w:h="15840" w:code="1"/>
          <w:pgMar w:top="1418" w:right="1134" w:bottom="1418" w:left="1134" w:header="0" w:footer="0" w:gutter="340"/>
          <w:cols w:space="720"/>
        </w:sectPr>
      </w:pPr>
    </w:p>
    <w:p w14:paraId="1DF44C53" w14:textId="14735764" w:rsidR="000A2EAD" w:rsidRDefault="00F865A4">
      <w:pPr>
        <w:pStyle w:val="Heading1"/>
        <w:widowControl/>
        <w:numPr>
          <w:ilvl w:val="0"/>
          <w:numId w:val="19"/>
        </w:numPr>
        <w:tabs>
          <w:tab w:val="left" w:pos="432"/>
        </w:tabs>
        <w:overflowPunct/>
        <w:autoSpaceDE/>
        <w:autoSpaceDN/>
        <w:adjustRightInd/>
        <w:jc w:val="left"/>
        <w:textAlignment w:val="auto"/>
        <w:rPr>
          <w:lang w:val="en-US"/>
        </w:rPr>
      </w:pPr>
      <w:r>
        <w:rPr>
          <w:lang w:val="en-US"/>
        </w:rPr>
        <w:t>INTRODUCTION</w:t>
      </w:r>
    </w:p>
    <w:p w14:paraId="4020DF06" w14:textId="77777777" w:rsidR="000A2EAD" w:rsidRDefault="000A2EAD">
      <w:pPr>
        <w:rPr>
          <w:lang w:val="en-US"/>
        </w:rPr>
      </w:pPr>
    </w:p>
    <w:p w14:paraId="60EC4E7E" w14:textId="32A60E02" w:rsidR="003627A2" w:rsidRDefault="003627A2" w:rsidP="003627A2">
      <w:r>
        <w:t>The rewards of successful mineral exploration and development can be substantial when a deposit is discovered, evaluated, and ultimately brought into production. However, mine development is inherently risky and time</w:t>
      </w:r>
      <w:r>
        <w:rPr>
          <w:rFonts w:ascii="Cambria Math" w:hAnsi="Cambria Math" w:cs="Cambria Math"/>
        </w:rPr>
        <w:t>‑</w:t>
      </w:r>
      <w:r>
        <w:t>consuming. It typically takes many years for a mining company to progress from early opportunity identification through to project execution and mine commissioning. Over this lifecycle, the development of a mining project and its associated infrastructure</w:t>
      </w:r>
      <w:r w:rsidR="0095356C">
        <w:t xml:space="preserve">, such as the </w:t>
      </w:r>
      <w:r>
        <w:t>tailings storage facility (TSF)</w:t>
      </w:r>
      <w:r w:rsidR="00372E20">
        <w:t xml:space="preserve"> </w:t>
      </w:r>
      <w:r>
        <w:t xml:space="preserve">requires a series of technical and economic studies, beginning with general site characterization and progressing through multiple levels of economic evaluation. Social acceptability and </w:t>
      </w:r>
      <w:r>
        <w:t>environmental liability are among the key factors that must be addressed throughout this process.</w:t>
      </w:r>
    </w:p>
    <w:p w14:paraId="724FA27D" w14:textId="6EA8CEA0" w:rsidR="00957D49" w:rsidRDefault="00957D49" w:rsidP="00957D49">
      <w:r>
        <w:t>Adopting a performance</w:t>
      </w:r>
      <w:r>
        <w:rPr>
          <w:rFonts w:ascii="Cambria Math" w:hAnsi="Cambria Math" w:cs="Cambria Math"/>
        </w:rPr>
        <w:t>‑</w:t>
      </w:r>
      <w:r>
        <w:t>based design approach for the reclamation, development, and operation of a TSF provides a transparent and technically robust way to link seismic demand directly to clearly defined performance objectives (e.g., allowable deformations, loss</w:t>
      </w:r>
      <w:r>
        <w:rPr>
          <w:rFonts w:ascii="Cambria Math" w:hAnsi="Cambria Math" w:cs="Cambria Math"/>
        </w:rPr>
        <w:t>‑</w:t>
      </w:r>
      <w:r>
        <w:t>of</w:t>
      </w:r>
      <w:r>
        <w:rPr>
          <w:rFonts w:ascii="Cambria Math" w:hAnsi="Cambria Math" w:cs="Cambria Math"/>
        </w:rPr>
        <w:t>‑</w:t>
      </w:r>
      <w:r>
        <w:t xml:space="preserve">containment criteria). This approach moves beyond prescriptive factors of safety and allows engineers to </w:t>
      </w:r>
      <w:r>
        <w:rPr>
          <w:rFonts w:cs="Arial"/>
        </w:rPr>
        <w:t>“</w:t>
      </w:r>
      <w:r>
        <w:t>right</w:t>
      </w:r>
      <w:r>
        <w:rPr>
          <w:rFonts w:ascii="Cambria Math" w:hAnsi="Cambria Math" w:cs="Cambria Math"/>
        </w:rPr>
        <w:t>‑</w:t>
      </w:r>
      <w:r>
        <w:t>size</w:t>
      </w:r>
      <w:r>
        <w:rPr>
          <w:rFonts w:cs="Arial"/>
        </w:rPr>
        <w:t>”</w:t>
      </w:r>
      <w:r>
        <w:t xml:space="preserve"> designs: avoiding under</w:t>
      </w:r>
      <w:r>
        <w:rPr>
          <w:rFonts w:ascii="Cambria Math" w:hAnsi="Cambria Math" w:cs="Cambria Math"/>
        </w:rPr>
        <w:t>‑</w:t>
      </w:r>
      <w:r>
        <w:t xml:space="preserve">design that could compromise safety, while also avoiding overly conservative embankments </w:t>
      </w:r>
      <w:r w:rsidR="006C3822">
        <w:t xml:space="preserve">design </w:t>
      </w:r>
      <w:r>
        <w:t xml:space="preserve">that drive unnecessary capital and operating costs. </w:t>
      </w:r>
      <w:r w:rsidR="00693695">
        <w:t>Since</w:t>
      </w:r>
      <w:r>
        <w:t xml:space="preserve"> performance criteria and risk tolerances are explicitly defined and quantified, performance</w:t>
      </w:r>
      <w:r>
        <w:rPr>
          <w:rFonts w:ascii="Cambria Math" w:hAnsi="Cambria Math" w:cs="Cambria Math"/>
        </w:rPr>
        <w:t>‑</w:t>
      </w:r>
      <w:r>
        <w:t xml:space="preserve">based design can support faster and more defensible permitting, improve </w:t>
      </w:r>
      <w:r>
        <w:lastRenderedPageBreak/>
        <w:t>communication with regulators and communities, and enhance social acceptability</w:t>
      </w:r>
      <w:r w:rsidR="00952E40">
        <w:t xml:space="preserve"> and stakeholder appreciation and approval</w:t>
      </w:r>
      <w:r>
        <w:t>.</w:t>
      </w:r>
    </w:p>
    <w:p w14:paraId="05BD8DE7" w14:textId="3DC3EBC7" w:rsidR="00E34A2D" w:rsidRDefault="00957D49" w:rsidP="00957D49">
      <w:r>
        <w:t>This is particularly important given that TSFs typically represent the longest</w:t>
      </w:r>
      <w:r w:rsidRPr="00DE25CC">
        <w:rPr>
          <w:rFonts w:ascii="Cambria Math" w:hAnsi="Cambria Math" w:cs="Cambria Math"/>
        </w:rPr>
        <w:t>‑</w:t>
      </w:r>
      <w:r>
        <w:t>lived asset and the most enduring liability for a mining company. While ore processing and active operations are finite in time, the tailings facility remains on site effectively in perpetuity, carrying long</w:t>
      </w:r>
      <w:r w:rsidRPr="00DE25CC">
        <w:rPr>
          <w:rFonts w:ascii="Cambria Math" w:hAnsi="Cambria Math" w:cs="Cambria Math"/>
        </w:rPr>
        <w:t>‑</w:t>
      </w:r>
      <w:r>
        <w:t>term geotechnical, environmental, and reputational risks. A performance</w:t>
      </w:r>
      <w:r w:rsidRPr="00DE25CC">
        <w:rPr>
          <w:rFonts w:ascii="Cambria Math" w:hAnsi="Cambria Math" w:cs="Cambria Math"/>
        </w:rPr>
        <w:t>‑</w:t>
      </w:r>
      <w:r>
        <w:t>based seismic design framework provides a rational basis for managing this long</w:t>
      </w:r>
      <w:r w:rsidRPr="00DE25CC">
        <w:rPr>
          <w:rFonts w:ascii="Cambria Math" w:hAnsi="Cambria Math" w:cs="Cambria Math"/>
        </w:rPr>
        <w:t>‑</w:t>
      </w:r>
      <w:r>
        <w:t>term liability by demonstrating, in quantifiable terms, that the facility can meet its required performance levels throughout its operational life and into closure and post</w:t>
      </w:r>
      <w:r w:rsidRPr="00DE25CC">
        <w:rPr>
          <w:rFonts w:ascii="Cambria Math" w:hAnsi="Cambria Math" w:cs="Cambria Math"/>
        </w:rPr>
        <w:t>‑</w:t>
      </w:r>
      <w:r>
        <w:t>closure.</w:t>
      </w:r>
    </w:p>
    <w:p w14:paraId="292E771A" w14:textId="62D5A9F9" w:rsidR="001230EF" w:rsidRDefault="00F3412D" w:rsidP="001230EF">
      <w:r>
        <w:t xml:space="preserve">As part of early stage of project, </w:t>
      </w:r>
      <w:r w:rsidR="00E34A2D">
        <w:t>a performance</w:t>
      </w:r>
      <w:r w:rsidR="00E34A2D" w:rsidRPr="00DE25CC">
        <w:rPr>
          <w:rFonts w:ascii="Cambria Math" w:hAnsi="Cambria Math" w:cs="Cambria Math"/>
        </w:rPr>
        <w:t>‑</w:t>
      </w:r>
      <w:r w:rsidR="00E34A2D">
        <w:t xml:space="preserve">based design </w:t>
      </w:r>
      <w:r>
        <w:t>methodology can be deployed</w:t>
      </w:r>
      <w:r w:rsidR="0008669A">
        <w:t xml:space="preserve">. The </w:t>
      </w:r>
      <w:r w:rsidR="00E34A2D">
        <w:t xml:space="preserve">performance of </w:t>
      </w:r>
      <w:r w:rsidR="00693BDB">
        <w:t>of a</w:t>
      </w:r>
      <w:r w:rsidR="00230C7F">
        <w:t xml:space="preserve">n </w:t>
      </w:r>
      <w:r w:rsidR="00E34A2D">
        <w:t xml:space="preserve">embankment </w:t>
      </w:r>
      <w:r w:rsidR="0008669A">
        <w:t xml:space="preserve">can be </w:t>
      </w:r>
      <w:r w:rsidR="00E34A2D">
        <w:t>defined against multiple objectives and criteria</w:t>
      </w:r>
      <w:r w:rsidR="0008669A">
        <w:t xml:space="preserve">, </w:t>
      </w:r>
      <w:r w:rsidR="0028236A">
        <w:t xml:space="preserve">through the used of a deterministic model. </w:t>
      </w:r>
      <w:r w:rsidR="00E34A2D">
        <w:t xml:space="preserve"> </w:t>
      </w:r>
      <w:r w:rsidR="001230EF">
        <w:t>As emphasized by Lacasse and Nadim (1998),</w:t>
      </w:r>
      <w:r w:rsidR="001230EF" w:rsidRPr="001230EF">
        <w:t xml:space="preserve"> </w:t>
      </w:r>
      <w:r w:rsidR="001230EF">
        <w:t>a</w:t>
      </w:r>
      <w:r w:rsidR="001230EF" w:rsidRPr="003E7E3A">
        <w:t>s more sounding, drilling and testing becomes available</w:t>
      </w:r>
      <w:r w:rsidR="001230EF">
        <w:t>, a performance-based progress toward a probabilistic framework.</w:t>
      </w:r>
    </w:p>
    <w:p w14:paraId="2CA1FB39" w14:textId="6B7F0C51" w:rsidR="00E04124" w:rsidRDefault="00806C60" w:rsidP="00E04124">
      <w:pPr>
        <w:rPr>
          <w:rFonts w:cs="Arial"/>
        </w:rPr>
      </w:pPr>
      <w:r w:rsidRPr="00806C60">
        <w:t>This paper presents the application of a performance</w:t>
      </w:r>
      <w:r w:rsidRPr="00806C60">
        <w:rPr>
          <w:rFonts w:ascii="Cambria Math" w:hAnsi="Cambria Math" w:cs="Cambria Math"/>
        </w:rPr>
        <w:t>‑</w:t>
      </w:r>
      <w:r w:rsidRPr="00806C60">
        <w:t>based seismic design framework to evaluate the long</w:t>
      </w:r>
      <w:r w:rsidRPr="00806C60">
        <w:rPr>
          <w:rFonts w:ascii="Cambria Math" w:hAnsi="Cambria Math" w:cs="Cambria Math"/>
        </w:rPr>
        <w:t>‑</w:t>
      </w:r>
      <w:r w:rsidRPr="00806C60">
        <w:t xml:space="preserve">term </w:t>
      </w:r>
      <w:r w:rsidR="001F5297">
        <w:t>performance</w:t>
      </w:r>
      <w:r w:rsidRPr="00806C60">
        <w:t xml:space="preserve"> of a TSF and to inform the selection and refinement of the reclamation concept.</w:t>
      </w:r>
      <w:r>
        <w:t xml:space="preserve"> </w:t>
      </w:r>
    </w:p>
    <w:p w14:paraId="42D1F3F8" w14:textId="77777777" w:rsidR="00675D23" w:rsidRDefault="00675D23" w:rsidP="00957D49"/>
    <w:p w14:paraId="59686462" w14:textId="779AD686" w:rsidR="00A02AE5" w:rsidRDefault="006E4A37" w:rsidP="00A02AE5">
      <w:pPr>
        <w:pStyle w:val="Heading1"/>
        <w:numPr>
          <w:ilvl w:val="0"/>
          <w:numId w:val="19"/>
        </w:numPr>
      </w:pPr>
      <w:r w:rsidRPr="00806C60">
        <w:t>performance</w:t>
      </w:r>
      <w:r w:rsidRPr="00806C60">
        <w:rPr>
          <w:rFonts w:ascii="Cambria Math" w:hAnsi="Cambria Math" w:cs="Cambria Math"/>
        </w:rPr>
        <w:t>‑</w:t>
      </w:r>
      <w:r w:rsidRPr="00806C60">
        <w:t xml:space="preserve">based seismic design framework </w:t>
      </w:r>
      <w:r w:rsidR="007D50B0">
        <w:t xml:space="preserve">- </w:t>
      </w:r>
      <w:r w:rsidR="00A02AE5">
        <w:t xml:space="preserve">Concept </w:t>
      </w:r>
      <w:r w:rsidR="00EE489C">
        <w:t>and vision</w:t>
      </w:r>
      <w:r w:rsidR="00A02AE5">
        <w:t xml:space="preserve"> </w:t>
      </w:r>
    </w:p>
    <w:p w14:paraId="2E87F36D" w14:textId="77777777" w:rsidR="00675D23" w:rsidRDefault="00675D23" w:rsidP="00957D49"/>
    <w:p w14:paraId="14131B27" w14:textId="35CF425D" w:rsidR="00AA6E4C" w:rsidRDefault="00EE489C" w:rsidP="00957D49">
      <w:r>
        <w:t>T</w:t>
      </w:r>
      <w:r w:rsidR="007B18B6">
        <w:t xml:space="preserve">he geotechnical </w:t>
      </w:r>
      <w:r w:rsidR="00E60D1C">
        <w:t>stability of</w:t>
      </w:r>
      <w:r w:rsidR="00AE7E68">
        <w:t xml:space="preserve"> embankments is most commonly evaluated using deterministic limit</w:t>
      </w:r>
      <w:r w:rsidR="00AE7E68">
        <w:rPr>
          <w:rFonts w:ascii="Cambria Math" w:hAnsi="Cambria Math" w:cs="Cambria Math"/>
        </w:rPr>
        <w:t>‑</w:t>
      </w:r>
      <w:r w:rsidR="00AE7E68">
        <w:t xml:space="preserve">equilibrium analyses, in which a factor of safety (FoS) is computed for specified loading conditions and fixed input parameters describing loads and resistances. </w:t>
      </w:r>
    </w:p>
    <w:p w14:paraId="56697445" w14:textId="53C01F6F" w:rsidR="008E468C" w:rsidRDefault="00AE7E68" w:rsidP="00957D49">
      <w:r>
        <w:t>By contrast</w:t>
      </w:r>
      <w:r w:rsidR="00DD44E6">
        <w:t xml:space="preserve"> to</w:t>
      </w:r>
      <w:r>
        <w:t xml:space="preserve"> </w:t>
      </w:r>
      <w:r w:rsidR="00DD44E6">
        <w:t>the resistance of geomaterials that is often poorly constrained</w:t>
      </w:r>
      <w:r w:rsidR="008E468C">
        <w:t xml:space="preserve">, </w:t>
      </w:r>
      <w:r>
        <w:t>the distributions describing the main external loads—such as design seismic loads</w:t>
      </w:r>
      <w:r>
        <w:rPr>
          <w:rFonts w:cs="Arial"/>
        </w:rPr>
        <w:t>—</w:t>
      </w:r>
      <w:r>
        <w:t xml:space="preserve">can usually be defined at an early stage </w:t>
      </w:r>
      <w:r w:rsidR="008E468C">
        <w:t xml:space="preserve">of a project </w:t>
      </w:r>
      <w:r>
        <w:t>and tend to evolve less as the project progresses</w:t>
      </w:r>
      <w:r w:rsidR="00310960">
        <w:t xml:space="preserve"> (Lacasse and Nadim, 1998)</w:t>
      </w:r>
      <w:r>
        <w:t xml:space="preserve">. </w:t>
      </w:r>
    </w:p>
    <w:p w14:paraId="1F336C38" w14:textId="7365BB3A" w:rsidR="00AE7E68" w:rsidRDefault="00AE7E68" w:rsidP="00957D49">
      <w:r>
        <w:t xml:space="preserve">Likewise, performance criteria or performance objectives for </w:t>
      </w:r>
      <w:r w:rsidR="00310960">
        <w:t>TSFs</w:t>
      </w:r>
      <w:r>
        <w:t xml:space="preserve"> are typically established early and, similar to the load definition, should not vary significantly throughout the engineering process.</w:t>
      </w:r>
    </w:p>
    <w:p w14:paraId="4B07C688" w14:textId="549EC2EB" w:rsidR="00B243DD" w:rsidRDefault="00AE7E68" w:rsidP="00560AC0">
      <w:r>
        <w:t>In current practice, assessment of embankment safety often relies on verifying that the FoS under static and pseudo</w:t>
      </w:r>
      <w:r>
        <w:rPr>
          <w:rFonts w:ascii="Cambria Math" w:hAnsi="Cambria Math" w:cs="Cambria Math"/>
        </w:rPr>
        <w:t>‑</w:t>
      </w:r>
      <w:r>
        <w:t xml:space="preserve">static (seismic) loading exceeds prescribed minimum values. </w:t>
      </w:r>
      <w:r w:rsidR="00C73750">
        <w:t>The</w:t>
      </w:r>
      <w:r w:rsidRPr="00C9767F">
        <w:t xml:space="preserve"> performance objectives and earthquake design criteria </w:t>
      </w:r>
      <w:r w:rsidR="00C73750">
        <w:t xml:space="preserve">for </w:t>
      </w:r>
      <w:r w:rsidR="000D7815">
        <w:t xml:space="preserve">TSFs is </w:t>
      </w:r>
      <w:r w:rsidRPr="00C9767F">
        <w:t>a function of consequence classification and, where applicable, project phase. Consequence classes are based primarily on population at risk, potential loss of life, and the scale of environmental and socio</w:t>
      </w:r>
      <w:r w:rsidRPr="00C9767F">
        <w:rPr>
          <w:rFonts w:ascii="Cambria Math" w:hAnsi="Cambria Math" w:cs="Cambria Math"/>
        </w:rPr>
        <w:t>‑</w:t>
      </w:r>
      <w:r w:rsidRPr="00C9767F">
        <w:t xml:space="preserve">economic impacts. In all </w:t>
      </w:r>
      <w:r>
        <w:t>recommended</w:t>
      </w:r>
      <w:r w:rsidRPr="00C9767F">
        <w:t xml:space="preserve"> frameworks, post</w:t>
      </w:r>
      <w:r w:rsidRPr="00C9767F">
        <w:rPr>
          <w:rFonts w:ascii="Cambria Math" w:hAnsi="Cambria Math" w:cs="Cambria Math"/>
        </w:rPr>
        <w:t>‑</w:t>
      </w:r>
      <w:r w:rsidRPr="00C9767F">
        <w:t>closure conditions must satisfy the most stringent seismic criteria, with the</w:t>
      </w:r>
      <w:r>
        <w:t xml:space="preserve"> desired </w:t>
      </w:r>
      <w:r w:rsidRPr="00C9291C">
        <w:rPr>
          <w:rFonts w:eastAsia="Calibri" w:cs="Arial"/>
          <w:color w:val="000000"/>
          <w:szCs w:val="18"/>
          <w:lang w:val="en-US"/>
        </w:rPr>
        <w:t>annual probability of exceedance (AEP)</w:t>
      </w:r>
      <w:r w:rsidRPr="00C9767F">
        <w:t>.</w:t>
      </w:r>
      <w:r>
        <w:t xml:space="preserve"> </w:t>
      </w:r>
      <w:r w:rsidR="00560AC0">
        <w:t>I</w:t>
      </w:r>
      <w:r w:rsidR="00560AC0" w:rsidRPr="00560AC0">
        <w:t>n Québec, the prescribed post</w:t>
      </w:r>
      <w:r w:rsidR="00560AC0" w:rsidRPr="00560AC0">
        <w:noBreakHyphen/>
        <w:t xml:space="preserve">closure seismic criteria require TSFs to be designed either for an event with an annual exceedance probability (AEP) of 1/10 000 or for the Maximum Credible Earthquake (MCE), as defined in the MERN (2024) guidelines. It must be demonstrated that the facility can withstand such events without catastrophic failure. </w:t>
      </w:r>
    </w:p>
    <w:p w14:paraId="7BE94256" w14:textId="3535FABE" w:rsidR="005D428C" w:rsidRDefault="005703E3" w:rsidP="00560AC0">
      <w:r w:rsidRPr="005703E3">
        <w:t>Demonstrating compliance with these seismic criteria depends critically on the choice of analysis method. Within this regulatory context, it is acknowledged that advanced equivalent</w:t>
      </w:r>
      <w:r w:rsidRPr="005703E3">
        <w:noBreakHyphen/>
        <w:t>linear or fully nonlinear dynamic finite</w:t>
      </w:r>
      <w:r w:rsidRPr="005703E3">
        <w:noBreakHyphen/>
        <w:t>element/finite</w:t>
      </w:r>
      <w:r w:rsidRPr="005703E3">
        <w:noBreakHyphen/>
        <w:t>difference (FE/FD) analyses are often difficult to justify for preliminary or screening</w:t>
      </w:r>
      <w:r w:rsidRPr="005703E3">
        <w:noBreakHyphen/>
        <w:t xml:space="preserve">level studies, given their data requirements, cost, and complexity. </w:t>
      </w:r>
      <w:r w:rsidR="00D31A6C">
        <w:t>Consequently, at early project stages, the dynamic stability of TSF embankments is typically evaluated by comparing pseudo</w:t>
      </w:r>
      <w:r w:rsidR="00D31A6C">
        <w:noBreakHyphen/>
        <w:t>static factors of safety against prescribed criteria</w:t>
      </w:r>
      <w:r w:rsidR="005D428C">
        <w:t>.</w:t>
      </w:r>
      <w:r w:rsidR="00D31A6C">
        <w:t xml:space="preserve"> </w:t>
      </w:r>
    </w:p>
    <w:p w14:paraId="68B44926" w14:textId="65E179C1" w:rsidR="00B22594" w:rsidRDefault="005D428C" w:rsidP="00560AC0">
      <w:pPr>
        <w:rPr>
          <w:lang w:val="en-US"/>
        </w:rPr>
      </w:pPr>
      <w:r>
        <w:t>Typically, when target FoS for pseudo-static loading condition is not achieved, the standard response is to modify the geometry (e.g., flatten slopes, add buttresses) of embankment(s) or to recommend additional works or assessment(s). This approach frequently leads to conservative designs, higher capital and operating costs. This FoS</w:t>
      </w:r>
      <w:r>
        <w:rPr>
          <w:rFonts w:ascii="Cambria Math" w:hAnsi="Cambria Math" w:cs="Cambria Math"/>
        </w:rPr>
        <w:t>‑</w:t>
      </w:r>
      <w:r>
        <w:t xml:space="preserve">centred methodology is inherently focused on </w:t>
      </w:r>
      <w:r>
        <w:rPr>
          <w:rFonts w:cs="Arial"/>
        </w:rPr>
        <w:t>“</w:t>
      </w:r>
      <w:r>
        <w:t>failure</w:t>
      </w:r>
      <w:r>
        <w:rPr>
          <w:rFonts w:cs="Arial"/>
        </w:rPr>
        <w:t>”</w:t>
      </w:r>
      <w:r>
        <w:t xml:space="preserve"> as a binary outcome and tends to obscure the underlying question of what constitutes unacceptable performance</w:t>
      </w:r>
      <w:r w:rsidR="00937F62">
        <w:t xml:space="preserve">. </w:t>
      </w:r>
      <w:r w:rsidR="00B22594" w:rsidRPr="00B22594">
        <w:t>Therefore, Newmark displacement analyses are increasingly used as an alternative or complement to pseudo</w:t>
      </w:r>
      <w:r w:rsidR="00B22594" w:rsidRPr="00B22594">
        <w:noBreakHyphen/>
        <w:t>static stability assessment. They serve as a screening</w:t>
      </w:r>
      <w:r w:rsidR="00B22594" w:rsidRPr="00B22594">
        <w:noBreakHyphen/>
        <w:t>level tool to estimate the relative magnitude of permanent embankment displacements induced by seismic loading.</w:t>
      </w:r>
      <w:r w:rsidR="00B22594">
        <w:t xml:space="preserve"> For example, should an earthquake</w:t>
      </w:r>
      <w:r w:rsidR="00B22594">
        <w:rPr>
          <w:rFonts w:ascii="Cambria Math" w:hAnsi="Cambria Math" w:cs="Cambria Math"/>
        </w:rPr>
        <w:t>‑</w:t>
      </w:r>
      <w:r w:rsidR="00B22594">
        <w:t xml:space="preserve">induced permanent deformation of 25 cm, 50 cm, or 100 cm for a given embankment be considered </w:t>
      </w:r>
      <w:r w:rsidR="00B22594">
        <w:rPr>
          <w:rFonts w:cs="Arial"/>
        </w:rPr>
        <w:t>“</w:t>
      </w:r>
      <w:r w:rsidR="00B22594">
        <w:t>failure,</w:t>
      </w:r>
      <w:r w:rsidR="00B22594">
        <w:rPr>
          <w:rFonts w:cs="Arial"/>
        </w:rPr>
        <w:t>”</w:t>
      </w:r>
      <w:r w:rsidR="00B22594">
        <w:t xml:space="preserve"> or could it represent acceptable performance within a performance</w:t>
      </w:r>
      <w:r w:rsidR="00B22594">
        <w:rPr>
          <w:rFonts w:ascii="Cambria Math" w:hAnsi="Cambria Math" w:cs="Cambria Math"/>
        </w:rPr>
        <w:t>‑</w:t>
      </w:r>
      <w:r w:rsidR="00B22594">
        <w:t>based framework?</w:t>
      </w:r>
      <w:r w:rsidR="00897316">
        <w:t xml:space="preserve"> Such </w:t>
      </w:r>
      <w:r w:rsidR="00897316" w:rsidRPr="008D752D">
        <w:rPr>
          <w:lang w:val="en-US"/>
        </w:rPr>
        <w:t>performance-based procedures</w:t>
      </w:r>
      <w:r w:rsidR="00897316">
        <w:rPr>
          <w:lang w:val="en-US"/>
        </w:rPr>
        <w:t>,</w:t>
      </w:r>
      <w:r w:rsidR="00897316" w:rsidRPr="008D752D">
        <w:rPr>
          <w:lang w:val="en-US"/>
        </w:rPr>
        <w:t xml:space="preserve"> </w:t>
      </w:r>
      <w:r w:rsidR="00897316">
        <w:rPr>
          <w:lang w:val="en-US"/>
        </w:rPr>
        <w:t xml:space="preserve">allows </w:t>
      </w:r>
      <w:r w:rsidR="00897316" w:rsidRPr="008D752D">
        <w:rPr>
          <w:lang w:val="en-US"/>
        </w:rPr>
        <w:t>linking</w:t>
      </w:r>
      <w:r w:rsidR="008E6285">
        <w:rPr>
          <w:lang w:val="en-US"/>
        </w:rPr>
        <w:t xml:space="preserve"> the</w:t>
      </w:r>
      <w:r w:rsidR="008E6285" w:rsidRPr="008E6285">
        <w:t xml:space="preserve"> </w:t>
      </w:r>
      <w:r w:rsidR="008E6285">
        <w:t>seismic coefficient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008E6285">
        <w:t>) to be used as part of the pseudo-st</w:t>
      </w:r>
      <w:r w:rsidR="001B2F32">
        <w:t xml:space="preserve">atic slope stability assessment </w:t>
      </w:r>
      <w:r w:rsidR="00897316" w:rsidRPr="008D752D">
        <w:rPr>
          <w:lang w:val="en-US"/>
        </w:rPr>
        <w:t>to an explicit pr</w:t>
      </w:r>
      <w:r w:rsidR="00897316">
        <w:rPr>
          <w:lang w:val="en-US"/>
        </w:rPr>
        <w:t xml:space="preserve">oject-based </w:t>
      </w:r>
      <w:r w:rsidR="00897316" w:rsidRPr="008D752D">
        <w:rPr>
          <w:lang w:val="en-US"/>
        </w:rPr>
        <w:t xml:space="preserve">displacement tolerance and a probabilistic </w:t>
      </w:r>
      <w:r w:rsidR="001B2F32">
        <w:rPr>
          <w:lang w:val="en-US"/>
        </w:rPr>
        <w:t xml:space="preserve">seismic </w:t>
      </w:r>
      <w:r w:rsidR="00897316" w:rsidRPr="008D752D">
        <w:rPr>
          <w:lang w:val="en-US"/>
        </w:rPr>
        <w:t>hazar</w:t>
      </w:r>
      <w:r w:rsidR="00A94128">
        <w:rPr>
          <w:lang w:val="en-US"/>
        </w:rPr>
        <w:t>d as discussed below.</w:t>
      </w:r>
    </w:p>
    <w:p w14:paraId="4D1FEC2F" w14:textId="2340829B" w:rsidR="00C72238" w:rsidRDefault="00C72238" w:rsidP="00560AC0">
      <w:r>
        <w:rPr>
          <w:lang w:val="en-US"/>
        </w:rPr>
        <w:t xml:space="preserve">It is worth mentioning that </w:t>
      </w:r>
      <w:r w:rsidR="00771339" w:rsidRPr="00771339">
        <w:rPr>
          <w:lang w:val="en-US"/>
        </w:rPr>
        <w:t>U.S. Army Corps of Engineers (USACE) Engineer Manual EM 1110-2-1902</w:t>
      </w:r>
      <w:r w:rsidR="000D3AB2">
        <w:rPr>
          <w:lang w:val="en-US"/>
        </w:rPr>
        <w:t xml:space="preserve"> and</w:t>
      </w:r>
      <w:r w:rsidR="00771339" w:rsidRPr="00771339">
        <w:rPr>
          <w:lang w:val="en-US"/>
        </w:rPr>
        <w:t xml:space="preserve"> </w:t>
      </w:r>
      <w:r w:rsidR="000D3AB2" w:rsidRPr="00771339">
        <w:rPr>
          <w:lang w:val="en-US"/>
        </w:rPr>
        <w:t>EM 1110-2-2100</w:t>
      </w:r>
      <w:r w:rsidR="000D3AB2">
        <w:rPr>
          <w:lang w:val="en-US"/>
        </w:rPr>
        <w:t xml:space="preserve"> </w:t>
      </w:r>
      <w:r w:rsidR="00771339" w:rsidRPr="00771339">
        <w:rPr>
          <w:lang w:val="en-US"/>
        </w:rPr>
        <w:t>endorse pseudo-static stability analysis as one of several acceptable methods and addresses the Newmark sliding-block approach for estimating permanent seismic deformation</w:t>
      </w:r>
      <w:r w:rsidR="000D3AB2">
        <w:rPr>
          <w:lang w:val="en-US"/>
        </w:rPr>
        <w:t xml:space="preserve"> and</w:t>
      </w:r>
      <w:r w:rsidR="00771339" w:rsidRPr="00771339">
        <w:rPr>
          <w:lang w:val="en-US"/>
        </w:rPr>
        <w:t xml:space="preserve"> establishing the principle that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00771339" w:rsidRPr="00771339">
        <w:rPr>
          <w:lang w:val="en-US"/>
        </w:rPr>
        <w:t xml:space="preserve"> must reflect project-specific conditions. As the USACE, the Canadian Dan Association (CDA), the Eurocode, the National Cooperative Highway Research Program (NCHRP) and the International Commission on Large Dams (ICOLD), endorse the Newmark displacement approach</w:t>
      </w:r>
      <w:r w:rsidR="000B4A70">
        <w:rPr>
          <w:lang w:val="en-US"/>
        </w:rPr>
        <w:t xml:space="preserve">, </w:t>
      </w:r>
      <w:r w:rsidR="00771339" w:rsidRPr="00771339">
        <w:rPr>
          <w:lang w:val="en-US"/>
        </w:rPr>
        <w:t>with the same caveat</w:t>
      </w:r>
      <w:r w:rsidR="00A76EA1">
        <w:rPr>
          <w:lang w:val="en-US"/>
        </w:rPr>
        <w:t>:</w:t>
      </w:r>
      <w:r w:rsidR="00771339" w:rsidRPr="00771339">
        <w:rPr>
          <w:lang w:val="en-US"/>
        </w:rPr>
        <w:t xml:space="preserve"> the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000B4A70">
        <w:t xml:space="preserve"> </w:t>
      </w:r>
      <w:r w:rsidR="00771339" w:rsidRPr="00771339">
        <w:rPr>
          <w:lang w:val="en-US"/>
        </w:rPr>
        <w:t>must reflect project-specific conditions.</w:t>
      </w:r>
    </w:p>
    <w:p w14:paraId="7A913D9B" w14:textId="77777777" w:rsidR="00B22594" w:rsidRDefault="00B22594" w:rsidP="00560AC0"/>
    <w:p w14:paraId="250155FB" w14:textId="24E567BC" w:rsidR="00A54BBD" w:rsidRDefault="00ED3D49" w:rsidP="00720F7D">
      <w:pPr>
        <w:pStyle w:val="Heading1"/>
        <w:numPr>
          <w:ilvl w:val="0"/>
          <w:numId w:val="19"/>
        </w:numPr>
        <w:jc w:val="left"/>
      </w:pPr>
      <w:bookmarkStart w:id="0" w:name="_Toc221298703"/>
      <w:r>
        <w:t>pse</w:t>
      </w:r>
      <w:r w:rsidR="00FF0E0D">
        <w:t>u</w:t>
      </w:r>
      <w:r>
        <w:t xml:space="preserve">do-static </w:t>
      </w:r>
      <w:r w:rsidR="00FF0E0D">
        <w:t>coefficient</w:t>
      </w:r>
      <w:r w:rsidR="00720F7D">
        <w:t xml:space="preserve"> determination</w:t>
      </w:r>
      <w:r>
        <w:t xml:space="preserve"> </w:t>
      </w:r>
      <w:bookmarkEnd w:id="0"/>
    </w:p>
    <w:p w14:paraId="24AB9311" w14:textId="77777777" w:rsidR="007B0CD6" w:rsidRDefault="007B0CD6" w:rsidP="007B0CD6"/>
    <w:p w14:paraId="16722FD4" w14:textId="0C7B6AF8" w:rsidR="00913986" w:rsidRDefault="00E936EB" w:rsidP="004E7A95">
      <w:pPr>
        <w:pStyle w:val="BodyText"/>
        <w:rPr>
          <w:lang w:val="en-US"/>
        </w:rPr>
      </w:pPr>
      <w:r w:rsidRPr="00D8000F">
        <w:rPr>
          <w:lang w:val="en-US"/>
        </w:rPr>
        <w:t xml:space="preserve">As part of </w:t>
      </w:r>
      <w:r w:rsidR="00231AEC" w:rsidRPr="00D8000F">
        <w:rPr>
          <w:lang w:val="en-US"/>
        </w:rPr>
        <w:t xml:space="preserve">pseudo-static </w:t>
      </w:r>
      <w:r w:rsidRPr="00D8000F">
        <w:rPr>
          <w:lang w:val="en-US"/>
        </w:rPr>
        <w:t xml:space="preserve">slope stability, </w:t>
      </w:r>
      <w:r w:rsidR="00231AEC" w:rsidRPr="00D8000F">
        <w:rPr>
          <w:lang w:val="en-US"/>
        </w:rPr>
        <w:t xml:space="preserve">the dynamic effect of earthquake shaking is simplified and represented as an equivalent static horizontal force. This force is proportional to a seismic coefficient,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00231AEC" w:rsidRPr="00D8000F">
        <w:rPr>
          <w:lang w:val="en-US"/>
        </w:rPr>
        <w:t>, and the weight of the potential sliding mass.</w:t>
      </w:r>
      <w:r w:rsidR="008928E1" w:rsidRPr="00D8000F">
        <w:rPr>
          <w:lang w:val="en-US"/>
        </w:rPr>
        <w:t xml:space="preserve"> </w:t>
      </w:r>
      <w:r w:rsidR="00231AEC" w:rsidRPr="00D8000F">
        <w:rPr>
          <w:lang w:val="en-US"/>
        </w:rPr>
        <w:t xml:space="preserve">Historically, the value of </w:t>
      </w:r>
      <w:r w:rsidR="00A15CE0" w:rsidRPr="00D8000F">
        <w:rPr>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00A15CE0" w:rsidRPr="00D8000F">
        <w:rPr>
          <w:lang w:val="en-US"/>
        </w:rPr>
        <w:t xml:space="preserve"> </w:t>
      </w:r>
      <w:r w:rsidR="00231AEC" w:rsidRPr="00D8000F">
        <w:rPr>
          <w:lang w:val="en-US"/>
        </w:rPr>
        <w:t xml:space="preserve"> has been selected either as a fixed fraction of the regional design peak ground acceleration (PGA) </w:t>
      </w:r>
      <w:r w:rsidR="008928E1" w:rsidRPr="00D8000F">
        <w:rPr>
          <w:lang w:val="en-US"/>
        </w:rPr>
        <w:t>(</w:t>
      </w:r>
      <w:r w:rsidR="008928E1" w:rsidRPr="00D8000F">
        <w:rPr>
          <w:highlight w:val="yellow"/>
          <w:lang w:val="en-US"/>
        </w:rPr>
        <w:t>REF</w:t>
      </w:r>
      <w:r w:rsidR="008928E1" w:rsidRPr="00D8000F">
        <w:rPr>
          <w:lang w:val="en-US"/>
        </w:rPr>
        <w:t xml:space="preserve">) </w:t>
      </w:r>
      <w:r w:rsidR="00231AEC" w:rsidRPr="00D8000F">
        <w:rPr>
          <w:lang w:val="en-US"/>
        </w:rPr>
        <w:t>or based on engineering judgment.</w:t>
      </w:r>
      <w:r w:rsidR="00A15CE0" w:rsidRPr="00D8000F">
        <w:rPr>
          <w:lang w:val="en-US"/>
        </w:rPr>
        <w:t xml:space="preserve"> </w:t>
      </w:r>
    </w:p>
    <w:p w14:paraId="1DF2400D" w14:textId="41B4A407" w:rsidR="004E7A95" w:rsidRDefault="00A15CE0" w:rsidP="004E7A95">
      <w:pPr>
        <w:pStyle w:val="BodyText"/>
        <w:rPr>
          <w:lang w:val="en-US"/>
        </w:rPr>
      </w:pPr>
      <w:r w:rsidRPr="008D752D">
        <w:rPr>
          <w:lang w:val="en-US"/>
        </w:rPr>
        <w:t xml:space="preserve">Over the past decades, a transition toward performance-based procedures linking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Pr="008D752D">
        <w:rPr>
          <w:lang w:val="en-US"/>
        </w:rPr>
        <w:t xml:space="preserve"> to an explicit </w:t>
      </w:r>
      <w:r w:rsidR="008D752D" w:rsidRPr="008D752D">
        <w:rPr>
          <w:lang w:val="en-US"/>
        </w:rPr>
        <w:t>pr</w:t>
      </w:r>
      <w:r w:rsidR="008D752D">
        <w:rPr>
          <w:lang w:val="en-US"/>
        </w:rPr>
        <w:t xml:space="preserve">oject-based </w:t>
      </w:r>
      <w:r w:rsidRPr="008D752D">
        <w:rPr>
          <w:lang w:val="en-US"/>
        </w:rPr>
        <w:t xml:space="preserve">displacement tolerance and a probabilistic </w:t>
      </w:r>
      <w:r w:rsidR="00DF573B">
        <w:rPr>
          <w:lang w:val="en-US"/>
        </w:rPr>
        <w:t xml:space="preserve">seismic </w:t>
      </w:r>
      <w:r w:rsidRPr="008D752D">
        <w:rPr>
          <w:lang w:val="en-US"/>
        </w:rPr>
        <w:t xml:space="preserve">hazard </w:t>
      </w:r>
      <w:r w:rsidRPr="008D752D">
        <w:rPr>
          <w:lang w:val="en-US"/>
        </w:rPr>
        <w:lastRenderedPageBreak/>
        <w:t>level reflecting the consequence class of the structure</w:t>
      </w:r>
      <w:r w:rsidR="00F66533">
        <w:rPr>
          <w:lang w:val="en-US"/>
        </w:rPr>
        <w:t xml:space="preserve"> occured</w:t>
      </w:r>
      <w:r w:rsidR="004E7A95" w:rsidRPr="008D752D">
        <w:rPr>
          <w:lang w:val="en-US"/>
        </w:rPr>
        <w:t xml:space="preserve">. </w:t>
      </w:r>
      <w:r w:rsidR="004E7A95" w:rsidRPr="004E7A95">
        <w:rPr>
          <w:lang w:val="en-US"/>
        </w:rPr>
        <w:t xml:space="preserve">This transition has been enabled by </w:t>
      </w:r>
      <w:r w:rsidR="00661830">
        <w:rPr>
          <w:lang w:val="en-US"/>
        </w:rPr>
        <w:t xml:space="preserve">the development of </w:t>
      </w:r>
      <w:r w:rsidR="004E7A95" w:rsidRPr="004E7A95">
        <w:rPr>
          <w:lang w:val="en-US"/>
        </w:rPr>
        <w:t>empirical Newmark sliding-block displacement models</w:t>
      </w:r>
      <w:r w:rsidR="0046007C">
        <w:rPr>
          <w:lang w:val="en-US"/>
        </w:rPr>
        <w:t xml:space="preserve"> (</w:t>
      </w:r>
      <w:r w:rsidR="0046007C" w:rsidRPr="0046007C">
        <w:rPr>
          <w:lang w:val="en-US"/>
        </w:rPr>
        <w:t>rigid-block and flexible-block formulations</w:t>
      </w:r>
      <w:r w:rsidR="0046007C">
        <w:rPr>
          <w:lang w:val="en-US"/>
        </w:rPr>
        <w:t>)</w:t>
      </w:r>
      <w:r w:rsidR="004E7A95" w:rsidRPr="004E7A95">
        <w:rPr>
          <w:lang w:val="en-US"/>
        </w:rPr>
        <w:t xml:space="preserve"> translat</w:t>
      </w:r>
      <w:r w:rsidR="00661830">
        <w:rPr>
          <w:lang w:val="en-US"/>
        </w:rPr>
        <w:t>ing</w:t>
      </w:r>
      <w:r w:rsidR="004E7A95" w:rsidRPr="004E7A95">
        <w:rPr>
          <w:lang w:val="en-US"/>
        </w:rPr>
        <w:t xml:space="preserve"> ground-motion intensity into probability distributions of permanent residual displacement.</w:t>
      </w:r>
      <w:r w:rsidR="0066787C">
        <w:rPr>
          <w:lang w:val="en-US"/>
        </w:rPr>
        <w:t xml:space="preserve"> This </w:t>
      </w:r>
      <w:r w:rsidR="00AD5D51">
        <w:rPr>
          <w:lang w:val="en-US"/>
        </w:rPr>
        <w:t xml:space="preserve">approach allows </w:t>
      </w:r>
      <w:r w:rsidR="00AD5D51" w:rsidRPr="00AD5D51">
        <w:rPr>
          <w:lang w:val="en-US"/>
        </w:rPr>
        <w:t>defin</w:t>
      </w:r>
      <w:r w:rsidR="00AD5D51">
        <w:rPr>
          <w:lang w:val="en-US"/>
        </w:rPr>
        <w:t>ing</w:t>
      </w:r>
      <w:r w:rsidR="00AD5D51" w:rsidRPr="00AD5D51">
        <w:rPr>
          <w:lang w:val="en-US"/>
        </w:rPr>
        <w:t xml:space="preserve"> seismic design criteria in terms of quantified performance outcomes rather than nominal force levels [U.S. Army Corps of Engineers (</w:t>
      </w:r>
      <w:hyperlink w:anchor="ref-USACE2003">
        <w:r w:rsidR="00AD5D51" w:rsidRPr="00AA11BE">
          <w:rPr>
            <w:lang w:val="en-US"/>
          </w:rPr>
          <w:t>2003</w:t>
        </w:r>
      </w:hyperlink>
      <w:r w:rsidR="00AD5D51" w:rsidRPr="00AD5D51">
        <w:rPr>
          <w:lang w:val="en-US"/>
        </w:rPr>
        <w:t>)](</w:t>
      </w:r>
      <w:hyperlink w:anchor="ref-AndersonEtAl2008">
        <w:r w:rsidR="00AD5D51" w:rsidRPr="00AA11BE">
          <w:rPr>
            <w:lang w:val="en-US"/>
          </w:rPr>
          <w:t>Anderson et al. 2008</w:t>
        </w:r>
      </w:hyperlink>
      <w:r w:rsidR="00AD5D51" w:rsidRPr="00AD5D51">
        <w:rPr>
          <w:lang w:val="en-US"/>
        </w:rPr>
        <w:t>).</w:t>
      </w:r>
    </w:p>
    <w:p w14:paraId="7FA9499F" w14:textId="298896B1" w:rsidR="00502D8F" w:rsidRDefault="00502D8F" w:rsidP="004E7A95">
      <w:pPr>
        <w:pStyle w:val="BodyText"/>
        <w:rPr>
          <w:lang w:val="en-US"/>
        </w:rPr>
      </w:pPr>
      <w:r w:rsidRPr="00502D8F">
        <w:rPr>
          <w:lang w:val="en-US"/>
        </w:rPr>
        <w:t>The performance-based framework for pseudo-static seismic coefficient selection was established by Bray and Travasarou</w:t>
      </w:r>
      <w:r>
        <w:rPr>
          <w:lang w:val="en-US"/>
        </w:rPr>
        <w:t xml:space="preserve"> (</w:t>
      </w:r>
      <w:r w:rsidR="004273EF">
        <w:rPr>
          <w:lang w:val="en-US"/>
        </w:rPr>
        <w:t xml:space="preserve">2007, </w:t>
      </w:r>
      <w:r>
        <w:rPr>
          <w:lang w:val="en-US"/>
        </w:rPr>
        <w:t xml:space="preserve">2009). </w:t>
      </w:r>
      <w:r w:rsidR="00D236D8">
        <w:rPr>
          <w:lang w:val="en-US"/>
        </w:rPr>
        <w:t>T</w:t>
      </w:r>
      <w:r w:rsidR="00D236D8" w:rsidRPr="00D236D8">
        <w:rPr>
          <w:lang w:val="en-US"/>
        </w:rPr>
        <w:t xml:space="preserve">he procedure </w:t>
      </w:r>
      <w:r w:rsidR="002F7704">
        <w:rPr>
          <w:lang w:val="en-US"/>
        </w:rPr>
        <w:t xml:space="preserve">enables direct determination of the </w:t>
      </w:r>
      <w:r w:rsidR="00D236D8" w:rsidRPr="00D236D8">
        <w:rPr>
          <w:lang w:val="en-US"/>
        </w:rPr>
        <w:t xml:space="preserve">design seismic coefficient required to limit the probability of exceeding a specified displacement threshold, given the site ground-motion demand, the fundamental period </w:t>
      </w:r>
      <w:r w:rsidR="001F09A4" w:rsidRPr="001F09A4">
        <w:rPr>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1F09A4" w:rsidRPr="001F09A4">
        <w:rPr>
          <w:lang w:val="en-US"/>
        </w:rPr>
        <w:t xml:space="preserve"> </w:t>
      </w:r>
      <w:r w:rsidR="00D236D8" w:rsidRPr="00D236D8">
        <w:rPr>
          <w:lang w:val="en-US"/>
        </w:rPr>
        <w:t>of the sliding mass, and the yield acceleration.</w:t>
      </w:r>
      <w:r w:rsidR="00A47A1F">
        <w:rPr>
          <w:lang w:val="en-US"/>
        </w:rPr>
        <w:t xml:space="preserve"> </w:t>
      </w:r>
      <w:r w:rsidR="00A47A1F" w:rsidRPr="00A47A1F">
        <w:rPr>
          <w:lang w:val="en-US"/>
        </w:rPr>
        <w:t>The framework was subsequently extended</w:t>
      </w:r>
      <w:r w:rsidR="00A47A1F">
        <w:rPr>
          <w:lang w:val="en-US"/>
        </w:rPr>
        <w:t xml:space="preserve"> by </w:t>
      </w:r>
      <w:r w:rsidR="00A47A1F" w:rsidRPr="00A47A1F">
        <w:rPr>
          <w:lang w:val="en-US"/>
        </w:rPr>
        <w:t>Bray and Macedo (2017</w:t>
      </w:r>
      <w:r w:rsidR="00A47A1F">
        <w:rPr>
          <w:lang w:val="en-US"/>
        </w:rPr>
        <w:t>, 2019</w:t>
      </w:r>
      <w:r w:rsidR="00A47A1F" w:rsidRPr="00A47A1F">
        <w:rPr>
          <w:lang w:val="en-US"/>
        </w:rPr>
        <w:t>)</w:t>
      </w:r>
      <w:r w:rsidR="00800CE9">
        <w:rPr>
          <w:lang w:val="en-US"/>
        </w:rPr>
        <w:t>, Macedo et al (2018) and Macedo et al. (2020)</w:t>
      </w:r>
      <w:r w:rsidR="00A47A1F" w:rsidRPr="00A47A1F">
        <w:rPr>
          <w:lang w:val="en-US"/>
        </w:rPr>
        <w:t>.</w:t>
      </w:r>
    </w:p>
    <w:p w14:paraId="11FB61A4" w14:textId="5828710A" w:rsidR="00F13A58" w:rsidRDefault="00F13A58" w:rsidP="00F13A58">
      <w:pPr>
        <w:pStyle w:val="BodyText"/>
        <w:rPr>
          <w:lang w:val="en-US"/>
        </w:rPr>
      </w:pPr>
      <w:r w:rsidRPr="00F13A58">
        <w:rPr>
          <w:lang w:val="en-US"/>
        </w:rPr>
        <w:t xml:space="preserve">The performance-based framework reconceptualizes </w:t>
      </w:r>
      <m:oMath>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Pr="00F13A58">
        <w:rPr>
          <w:lang w:val="en-US"/>
        </w:rPr>
        <w:t xml:space="preserve"> selection as an inverse problem defined by an explicit displacement performance objective</w:t>
      </w:r>
      <w:r w:rsidR="00ED7E75">
        <w:rPr>
          <w:lang w:val="en-US"/>
        </w:rPr>
        <w:t xml:space="preserve"> defined on a project-based basis</w:t>
      </w:r>
      <w:r w:rsidRPr="00F13A58">
        <w:rPr>
          <w:lang w:val="en-US"/>
        </w:rPr>
        <w:t xml:space="preserve">. The design coefficient </w:t>
      </w:r>
      <m:oMath>
        <m:sSub>
          <m:sSubPr>
            <m:ctrlPr>
              <w:rPr>
                <w:rFonts w:ascii="Cambria Math" w:hAnsi="Cambria Math"/>
              </w:rPr>
            </m:ctrlPr>
          </m:sSubPr>
          <m:e>
            <m:r>
              <w:rPr>
                <w:rFonts w:ascii="Cambria Math" w:hAnsi="Cambria Math"/>
              </w:rPr>
              <m:t>k</m:t>
            </m:r>
          </m:e>
          <m:sub>
            <m:r>
              <m:rPr>
                <m:sty m:val="p"/>
              </m:rPr>
              <w:rPr>
                <w:rFonts w:ascii="Cambria Math" w:hAnsi="Cambria Math"/>
                <w:lang w:val="en-US"/>
              </w:rPr>
              <m:t>max</m:t>
            </m:r>
          </m:sub>
        </m:sSub>
      </m:oMath>
      <w:r w:rsidRPr="00F13A58">
        <w:rPr>
          <w:lang w:val="en-US"/>
        </w:rPr>
        <w:t xml:space="preserve"> is the minimum yield acceleration ratio</w:t>
      </w:r>
      <w:r w:rsidR="00A13E30">
        <w:rPr>
          <w:lang w:val="en-US"/>
        </w:rPr>
        <w:t>,</w:t>
      </w:r>
      <w:r w:rsidRPr="00F13A58">
        <w:rPr>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lang w:val="en-US"/>
          </w:rPr>
          <m:t>/</m:t>
        </m:r>
        <m:r>
          <w:rPr>
            <w:rFonts w:ascii="Cambria Math" w:hAnsi="Cambria Math"/>
          </w:rPr>
          <m:t>g</m:t>
        </m:r>
      </m:oMath>
      <w:r w:rsidR="00A13E30">
        <w:rPr>
          <w:lang w:val="en-US"/>
        </w:rPr>
        <w:t xml:space="preserve">, </w:t>
      </w:r>
      <w:r w:rsidRPr="00F13A58">
        <w:rPr>
          <w:lang w:val="en-US"/>
        </w:rPr>
        <w:t>for which the probability of the ensemble-predicted permanent co-seismic displacement exceeding an allowable threshold</w:t>
      </w:r>
      <w:r w:rsidR="00A13E30">
        <w:rPr>
          <w:lang w:val="en-US"/>
        </w:rPr>
        <w:t>,</w:t>
      </w:r>
      <w:r w:rsidRPr="00F13A58">
        <w:rPr>
          <w:lang w:val="en-US"/>
        </w:rPr>
        <w:t xml:space="preserve"> </w:t>
      </w:r>
      <m:oMath>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lang w:val="en-US"/>
              </w:rPr>
              <m:t>⋆</m:t>
            </m:r>
          </m:sup>
        </m:sSubSup>
      </m:oMath>
      <w:r w:rsidR="00A13E30" w:rsidRPr="00A13E30">
        <w:rPr>
          <w:lang w:val="en-US"/>
        </w:rPr>
        <w:t>,</w:t>
      </w:r>
      <w:r w:rsidRPr="00F13A58">
        <w:rPr>
          <w:lang w:val="en-US"/>
        </w:rPr>
        <w:t xml:space="preserve"> is controlled at a specified target exceedance probability </w:t>
      </w:r>
      <m:oMath>
        <m:r>
          <w:rPr>
            <w:rFonts w:ascii="Cambria Math" w:hAnsi="Cambria Math"/>
          </w:rPr>
          <m:t>p</m:t>
        </m:r>
      </m:oMath>
      <w:r w:rsidRPr="00F13A58">
        <w:rPr>
          <w:lang w:val="en-US"/>
        </w:rPr>
        <w:t>:</w:t>
      </w:r>
    </w:p>
    <w:p w14:paraId="6E09E75E" w14:textId="77777777" w:rsidR="00714DFB" w:rsidRPr="00F13A58" w:rsidRDefault="00714DFB" w:rsidP="00F13A58">
      <w:pPr>
        <w:pStyle w:val="BodyText"/>
        <w:rPr>
          <w:lang w:val="en-US"/>
        </w:rPr>
      </w:pPr>
    </w:p>
    <w:p w14:paraId="73DD99DB" w14:textId="77777777" w:rsidR="00F13A58" w:rsidRDefault="00A526BC" w:rsidP="00F13A58">
      <w:pPr>
        <w:pStyle w:val="BodyText"/>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rPr>
                <m:t>⋆</m:t>
              </m:r>
            </m:sup>
          </m:sSubSup>
          <m:r>
            <m:rPr>
              <m:sty m:val="p"/>
            </m:rPr>
            <w:rPr>
              <w:rFonts w:ascii="Cambria Math" w:hAnsi="Cambria Math"/>
            </w:rPr>
            <m:t>)=inf{</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)&gt;</m:t>
          </m:r>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42B76794" w14:textId="77777777" w:rsidR="004F391E" w:rsidRDefault="00F13A58" w:rsidP="00F13A58">
      <w:pPr>
        <w:pStyle w:val="FirstParagraph"/>
        <w:rPr>
          <w:sz w:val="18"/>
          <w:szCs w:val="20"/>
        </w:rPr>
      </w:pPr>
      <w:r w:rsidRPr="00A13E30">
        <w:rPr>
          <w:sz w:val="18"/>
          <w:szCs w:val="20"/>
        </w:rPr>
        <w:t xml:space="preserve">where </w:t>
      </w:r>
      <m:oMath>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y</m:t>
            </m:r>
          </m:sub>
        </m:sSub>
      </m:oMath>
      <w:r w:rsidRPr="00A13E30">
        <w:rPr>
          <w:sz w:val="18"/>
          <w:szCs w:val="20"/>
        </w:rPr>
        <w:t xml:space="preserve"> is the critical (yield) acceleration, </w:t>
      </w:r>
      <m:oMath>
        <m:r>
          <w:rPr>
            <w:rFonts w:ascii="Cambria Math" w:hAnsi="Cambria Math"/>
            <w:sz w:val="18"/>
            <w:szCs w:val="20"/>
          </w:rPr>
          <m:t>g</m:t>
        </m:r>
      </m:oMath>
      <w:r w:rsidRPr="00A13E30">
        <w:rPr>
          <w:sz w:val="18"/>
          <w:szCs w:val="20"/>
        </w:rPr>
        <w:t xml:space="preserve"> is gravitational acceleration, </w:t>
      </w:r>
      <m:oMath>
        <m:sSub>
          <m:sSubPr>
            <m:ctrlPr>
              <w:rPr>
                <w:rFonts w:ascii="Cambria Math" w:hAnsi="Cambria Math"/>
                <w:sz w:val="18"/>
                <w:szCs w:val="20"/>
              </w:rPr>
            </m:ctrlPr>
          </m:sSubPr>
          <m:e>
            <m:r>
              <w:rPr>
                <w:rFonts w:ascii="Cambria Math" w:hAnsi="Cambria Math"/>
                <w:sz w:val="18"/>
                <w:szCs w:val="20"/>
              </w:rPr>
              <m:t>D</m:t>
            </m:r>
          </m:e>
          <m:sub>
            <m:r>
              <w:rPr>
                <w:rFonts w:ascii="Cambria Math" w:hAnsi="Cambria Math"/>
                <w:sz w:val="18"/>
                <w:szCs w:val="20"/>
              </w:rPr>
              <m:t>n</m:t>
            </m:r>
          </m:sub>
        </m:sSub>
      </m:oMath>
      <w:r w:rsidRPr="00A13E30">
        <w:rPr>
          <w:sz w:val="18"/>
          <w:szCs w:val="20"/>
        </w:rPr>
        <w:t xml:space="preserve"> is the ensemble-predicted Newmark displacement, and </w:t>
      </w:r>
      <m:oMath>
        <m:r>
          <w:rPr>
            <w:rFonts w:ascii="Cambria Math" w:hAnsi="Cambria Math"/>
            <w:sz w:val="18"/>
            <w:szCs w:val="20"/>
          </w:rPr>
          <m:t>p</m:t>
        </m:r>
      </m:oMath>
      <w:r w:rsidRPr="00A13E30">
        <w:rPr>
          <w:sz w:val="18"/>
          <w:szCs w:val="20"/>
        </w:rPr>
        <w:t xml:space="preserve"> is the target exceedance probability.</w:t>
      </w:r>
      <w:r w:rsidR="00767ADB">
        <w:rPr>
          <w:sz w:val="18"/>
          <w:szCs w:val="20"/>
        </w:rPr>
        <w:t xml:space="preserve"> </w:t>
      </w:r>
    </w:p>
    <w:p w14:paraId="58917C03" w14:textId="30918452" w:rsidR="00594278" w:rsidRPr="00594278" w:rsidRDefault="004F391E" w:rsidP="00594278">
      <w:pPr>
        <w:pStyle w:val="BodyText"/>
        <w:rPr>
          <w:lang w:val="en-US"/>
        </w:rPr>
      </w:pPr>
      <w:r w:rsidRPr="00D8000F">
        <w:rPr>
          <w:lang w:val="en-US"/>
        </w:rPr>
        <w:t xml:space="preserve">The </w:t>
      </w:r>
      <w:r w:rsidRPr="00D8000F">
        <w:rPr>
          <w:highlight w:val="yellow"/>
          <w:lang w:val="en-US"/>
        </w:rPr>
        <w:t>coefficient</w:t>
      </w:r>
      <w:r w:rsidRPr="00D8000F">
        <w:rPr>
          <w:lang w:val="en-US"/>
        </w:rPr>
        <w:t xml:space="preserve"> is calibrated as per the target ground-motion intensity level, expressed as an annual exceedance probability (AEP) and the physical and dynamic properties of the embankment. </w:t>
      </w:r>
      <w:r w:rsidR="001C13CB" w:rsidRPr="00D8000F">
        <w:rPr>
          <w:lang w:val="en-US"/>
        </w:rPr>
        <w:t>The physical property of the embankment is established through the</w:t>
      </w:r>
      <w:r w:rsidR="007069BD" w:rsidRPr="00D8000F">
        <w:rPr>
          <w:lang w:val="en-US"/>
        </w:rPr>
        <w:t xml:space="preserve"> yield acceleration ratio </w:t>
      </w:r>
      <m:oMath>
        <m: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sub>
            </m:sSub>
          </m:num>
          <m:den>
            <m:r>
              <w:rPr>
                <w:rFonts w:ascii="Cambria Math" w:hAnsi="Cambria Math"/>
              </w:rPr>
              <m:t>g</m:t>
            </m:r>
          </m:den>
        </m:f>
        <m:r>
          <w:rPr>
            <w:rFonts w:ascii="Cambria Math" w:hAnsi="Cambria Math"/>
            <w:lang w:val="en-US"/>
          </w:rPr>
          <m:t>)</m:t>
        </m:r>
      </m:oMath>
      <w:r w:rsidR="007069BD" w:rsidRPr="00D8000F">
        <w:rPr>
          <w:lang w:val="en-US"/>
        </w:rPr>
        <w:t xml:space="preserve"> </w:t>
      </w:r>
      <w:r w:rsidR="00652752" w:rsidRPr="00D8000F">
        <w:rPr>
          <w:lang w:val="en-US"/>
        </w:rPr>
        <w:t xml:space="preserve">representing </w:t>
      </w:r>
      <w:r w:rsidR="007069BD" w:rsidRPr="00D8000F">
        <w:rPr>
          <w:lang w:val="en-US"/>
        </w:rPr>
        <w:t>the minimum normalized horizontal acceleration required to initiate permanent sliding</w:t>
      </w:r>
      <w:r w:rsidR="005A114E" w:rsidRPr="00D8000F">
        <w:rPr>
          <w:lang w:val="en-US"/>
        </w:rPr>
        <w:t>.</w:t>
      </w:r>
      <w:r w:rsidRPr="00D8000F">
        <w:rPr>
          <w:lang w:val="en-US"/>
        </w:rPr>
        <w:t xml:space="preserve"> </w:t>
      </w:r>
      <w:r w:rsidR="00652752" w:rsidRPr="0091055F">
        <w:rPr>
          <w:lang w:val="en-US"/>
        </w:rPr>
        <w:t>The dynamic properties of the embankment is represented through</w:t>
      </w:r>
      <w:r w:rsidR="009F750C" w:rsidRPr="0091055F">
        <w:rPr>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9F750C" w:rsidRPr="0091055F">
        <w:rPr>
          <w:lang w:val="en-US"/>
        </w:rPr>
        <w:t xml:space="preserve"> of the potentially sliding mass</w:t>
      </w:r>
      <w:r w:rsidR="0091055F">
        <w:rPr>
          <w:lang w:val="en-US"/>
        </w:rPr>
        <w:t xml:space="preserve"> and</w:t>
      </w:r>
      <w:r w:rsidR="0091055F" w:rsidRPr="0091055F">
        <w:rPr>
          <w:lang w:val="en-US"/>
        </w:rPr>
        <w:t xml:space="preserve"> depends on the shear stiffness and geometric extent of the sliding body. Together,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0091055F" w:rsidRPr="0091055F">
        <w:rPr>
          <w:lang w:val="en-US"/>
        </w:rPr>
        <w:t xml:space="preserve"> and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91055F" w:rsidRPr="0091055F">
        <w:rPr>
          <w:lang w:val="en-US"/>
        </w:rPr>
        <w:t xml:space="preserve"> define the mechanical response of the slope to a given seismic excitation.</w:t>
      </w:r>
      <w:r w:rsidR="00594278" w:rsidRPr="00594278">
        <w:rPr>
          <w:lang w:val="en-US"/>
        </w:rPr>
        <w:t xml:space="preserve"> The methodology connects these two parameter groups through Newmark sliding-block displacement regression models, which translate ground-motion intensity measures - including peak ground acceleration (PGA), spectral acceleration </w:t>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lang w:val="en-US"/>
          </w:rPr>
          <m:t>(</m:t>
        </m:r>
        <m:r>
          <w:rPr>
            <w:rFonts w:ascii="Cambria Math" w:hAnsi="Cambria Math"/>
          </w:rPr>
          <m:t>T</m:t>
        </m:r>
        <m:r>
          <m:rPr>
            <m:sty m:val="p"/>
          </m:rPr>
          <w:rPr>
            <w:rFonts w:ascii="Cambria Math" w:hAnsi="Cambria Math"/>
            <w:lang w:val="en-US"/>
          </w:rPr>
          <m:t>)</m:t>
        </m:r>
      </m:oMath>
      <w:r w:rsidR="00594278" w:rsidRPr="00594278">
        <w:rPr>
          <w:lang w:val="en-US"/>
        </w:rPr>
        <w:t xml:space="preserve">, peak ground velocity (PGV), and Arias intensity (AI) - into probability distributions of permanent residual displacement. The performance-based coefficient </w:t>
      </w:r>
      <m:oMath>
        <m:sSub>
          <m:sSubPr>
            <m:ctrlPr>
              <w:rPr>
                <w:rFonts w:ascii="Cambria Math" w:hAnsi="Cambria Math"/>
              </w:rPr>
            </m:ctrlPr>
          </m:sSubPr>
          <m:e>
            <m:r>
              <w:rPr>
                <w:rFonts w:ascii="Cambria Math" w:hAnsi="Cambria Math"/>
              </w:rPr>
              <m:t>k</m:t>
            </m:r>
          </m:e>
          <m:sub>
            <m:r>
              <m:rPr>
                <m:sty m:val="p"/>
              </m:rPr>
              <w:rPr>
                <w:rFonts w:ascii="Cambria Math" w:hAnsi="Cambria Math"/>
                <w:lang w:val="en-US"/>
              </w:rPr>
              <m:t>max</m:t>
            </m:r>
          </m:sub>
        </m:sSub>
      </m:oMath>
      <w:r w:rsidR="00594278" w:rsidRPr="00594278">
        <w:rPr>
          <w:lang w:val="en-US"/>
        </w:rPr>
        <w:t xml:space="preserve"> is then identified by inverting this displacement framework: for a given target AEP and allowable displacement threshold </w:t>
      </w:r>
      <m:oMath>
        <m:sSubSup>
          <m:sSubSupPr>
            <m:ctrlPr>
              <w:rPr>
                <w:rFonts w:ascii="Cambria Math" w:hAnsi="Cambria Math"/>
              </w:rPr>
            </m:ctrlPr>
          </m:sSubSupPr>
          <m:e>
            <m:r>
              <w:rPr>
                <w:rFonts w:ascii="Cambria Math" w:hAnsi="Cambria Math"/>
              </w:rPr>
              <m:t>D</m:t>
            </m:r>
          </m:e>
          <m:sub>
            <m:r>
              <w:rPr>
                <w:rFonts w:ascii="Cambria Math" w:hAnsi="Cambria Math"/>
              </w:rPr>
              <m:t>n</m:t>
            </m:r>
          </m:sub>
          <m:sup>
            <m:r>
              <m:rPr>
                <m:sty m:val="p"/>
              </m:rPr>
              <w:rPr>
                <w:rFonts w:ascii="Cambria Math" w:hAnsi="Cambria Math"/>
                <w:lang w:val="en-US"/>
              </w:rPr>
              <m:t>⋆</m:t>
            </m:r>
          </m:sup>
        </m:sSubSup>
      </m:oMath>
      <w:r w:rsidR="00594278" w:rsidRPr="00594278">
        <w:rPr>
          <w:lang w:val="en-US"/>
        </w:rPr>
        <w:t xml:space="preserve">, the minimum </w:t>
      </w:r>
      <w:commentRangeStart w:id="1"/>
      <m:oMath>
        <m:sSub>
          <m:sSubPr>
            <m:ctrlPr>
              <w:rPr>
                <w:rFonts w:ascii="Cambria Math" w:hAnsi="Cambria Math"/>
              </w:rPr>
            </m:ctrlPr>
          </m:sSubPr>
          <m:e>
            <m:r>
              <w:rPr>
                <w:rFonts w:ascii="Cambria Math" w:hAnsi="Cambria Math"/>
              </w:rPr>
              <m:t>k</m:t>
            </m:r>
          </m:e>
          <m:sub>
            <m:r>
              <w:rPr>
                <w:rFonts w:ascii="Cambria Math" w:hAnsi="Cambria Math"/>
              </w:rPr>
              <m:t>y</m:t>
            </m:r>
          </m:sub>
        </m:sSub>
      </m:oMath>
      <w:commentRangeEnd w:id="1"/>
      <w:r w:rsidR="000A4AFC" w:rsidRPr="00594278">
        <w:rPr>
          <w:rStyle w:val="CommentReference"/>
          <w:sz w:val="18"/>
          <w:szCs w:val="20"/>
          <w:lang w:val="en-US"/>
        </w:rPr>
        <w:commentReference w:id="1"/>
      </w:r>
      <w:r w:rsidR="00594278" w:rsidRPr="00594278">
        <w:rPr>
          <w:lang w:val="en-US"/>
        </w:rPr>
        <w:t xml:space="preserve"> satisfying the prescribed performance criterion constitutes the design seismic coefficient.</w:t>
      </w:r>
      <w:r w:rsidR="00577F74">
        <w:rPr>
          <w:lang w:val="en-US"/>
        </w:rPr>
        <w:t xml:space="preserve"> (</w:t>
      </w:r>
      <w:r w:rsidR="00577F74" w:rsidRPr="00577F74">
        <w:rPr>
          <w:highlight w:val="yellow"/>
          <w:lang w:val="en-US"/>
        </w:rPr>
        <w:t>REFs</w:t>
      </w:r>
      <w:r w:rsidR="00577F74">
        <w:rPr>
          <w:lang w:val="en-US"/>
        </w:rPr>
        <w:t>)</w:t>
      </w:r>
    </w:p>
    <w:p w14:paraId="2F9F996D" w14:textId="604F69DC" w:rsidR="0091055F" w:rsidRPr="0091055F" w:rsidRDefault="0091055F" w:rsidP="0091055F">
      <w:pPr>
        <w:pStyle w:val="BodyText"/>
        <w:rPr>
          <w:lang w:val="en-US"/>
        </w:rPr>
      </w:pPr>
    </w:p>
    <w:p w14:paraId="48E377A5" w14:textId="5781EC36" w:rsidR="00AF2A18" w:rsidRDefault="00AF2A18" w:rsidP="00AF2A18">
      <w:pPr>
        <w:pStyle w:val="Heading1"/>
        <w:numPr>
          <w:ilvl w:val="0"/>
          <w:numId w:val="19"/>
        </w:numPr>
        <w:jc w:val="left"/>
      </w:pPr>
      <w:r>
        <w:t xml:space="preserve">Newmark displacement models </w:t>
      </w:r>
    </w:p>
    <w:p w14:paraId="17645920" w14:textId="78C91A54" w:rsidR="00F13A58" w:rsidRPr="006B596E" w:rsidRDefault="00362D24" w:rsidP="00F13A58">
      <w:pPr>
        <w:pStyle w:val="FirstParagraph"/>
        <w:rPr>
          <w:sz w:val="16"/>
          <w:szCs w:val="18"/>
          <w:lang w:val="en-US"/>
        </w:rPr>
      </w:pPr>
      <w:r w:rsidRPr="006B596E">
        <w:rPr>
          <w:sz w:val="18"/>
          <w:szCs w:val="20"/>
        </w:rPr>
        <w:t xml:space="preserve">The Newmark sliding-block method conceptualizes the seismically loaded slope as either a rigid or a flexible (compliant) block resting on an inclined frictional surface. When the driving acceleration component along the failure plane exceeds the yield acceleration </w:t>
      </w:r>
      <m:oMath>
        <m:sSub>
          <m:sSubPr>
            <m:ctrlPr>
              <w:rPr>
                <w:rFonts w:ascii="Cambria Math" w:hAnsi="Cambria Math"/>
                <w:sz w:val="18"/>
                <w:szCs w:val="20"/>
              </w:rPr>
            </m:ctrlPr>
          </m:sSubPr>
          <m:e>
            <m:r>
              <w:rPr>
                <w:rFonts w:ascii="Cambria Math" w:hAnsi="Cambria Math"/>
                <w:sz w:val="18"/>
                <w:szCs w:val="20"/>
              </w:rPr>
              <m:t>(k</m:t>
            </m:r>
          </m:e>
          <m:sub>
            <m:r>
              <w:rPr>
                <w:rFonts w:ascii="Cambria Math" w:hAnsi="Cambria Math"/>
                <w:sz w:val="18"/>
                <w:szCs w:val="20"/>
              </w:rPr>
              <m:t>y</m:t>
            </m:r>
          </m:sub>
        </m:sSub>
        <m:r>
          <w:rPr>
            <w:rFonts w:ascii="Cambria Math" w:hAnsi="Cambria Math"/>
            <w:sz w:val="18"/>
            <w:szCs w:val="20"/>
          </w:rPr>
          <m:t>g)</m:t>
        </m:r>
      </m:oMath>
      <w:r w:rsidRPr="006B596E">
        <w:rPr>
          <w:sz w:val="18"/>
          <w:szCs w:val="20"/>
        </w:rPr>
        <w:t xml:space="preserve">, the block undergoes incremental downslope movement; relative motion ceases when the driving acceleration falls below this threshold. The total permanent displacement </w:t>
      </w:r>
      <m:oMath>
        <m:r>
          <w:rPr>
            <w:rFonts w:ascii="Cambria Math" w:hAnsi="Cambria Math"/>
            <w:sz w:val="18"/>
            <w:szCs w:val="20"/>
          </w:rPr>
          <m:t>D</m:t>
        </m:r>
      </m:oMath>
      <w:r w:rsidRPr="006B596E">
        <w:rPr>
          <w:sz w:val="18"/>
          <w:szCs w:val="20"/>
        </w:rPr>
        <w:t xml:space="preserve"> accumulates over all exceedance episodes throughout the duration of shaking</w:t>
      </w:r>
      <w:r w:rsidR="0094450E" w:rsidRPr="006B596E">
        <w:rPr>
          <w:sz w:val="18"/>
          <w:szCs w:val="20"/>
        </w:rPr>
        <w:t xml:space="preserve"> (</w:t>
      </w:r>
      <w:r w:rsidR="0094450E" w:rsidRPr="006B596E">
        <w:rPr>
          <w:sz w:val="18"/>
          <w:szCs w:val="20"/>
          <w:highlight w:val="yellow"/>
        </w:rPr>
        <w:t>REFs</w:t>
      </w:r>
      <w:r w:rsidR="0094450E" w:rsidRPr="006B596E">
        <w:rPr>
          <w:sz w:val="18"/>
          <w:szCs w:val="20"/>
        </w:rPr>
        <w:t xml:space="preserve">) as per the following equation : </w:t>
      </w:r>
    </w:p>
    <w:p w14:paraId="516A2B15" w14:textId="77777777" w:rsidR="00F13A58" w:rsidRDefault="00F13A58" w:rsidP="004E7A95">
      <w:pPr>
        <w:pStyle w:val="BodyText"/>
        <w:rPr>
          <w:lang w:val="en-CA"/>
        </w:rPr>
      </w:pPr>
    </w:p>
    <w:p w14:paraId="6298A2E7" w14:textId="77777777" w:rsidR="00DD2FCB" w:rsidRDefault="00DD2FCB" w:rsidP="00DD2FCB">
      <w:pPr>
        <w:pStyle w:val="BodyText"/>
      </w:pPr>
      <m:oMathPara>
        <m:oMathParaPr>
          <m:jc m:val="center"/>
        </m:oMathParaPr>
        <m:oMath>
          <m:r>
            <m:rPr>
              <m:sty m:val="p"/>
            </m:rPr>
            <w:rPr>
              <w:rFonts w:ascii="Cambria Math" w:hAnsi="Cambria Math"/>
            </w:rPr>
            <m:t>ln</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ln</m:t>
              </m:r>
              <m:r>
                <w:rPr>
                  <w:rFonts w:ascii="Cambria Math" w:hAnsi="Cambria Math"/>
                </w:rPr>
                <m:t>D</m:t>
              </m:r>
            </m:sub>
          </m:sSub>
          <m:r>
            <m:rPr>
              <m:sty m:val="p"/>
            </m:rPr>
            <w:rPr>
              <w:rFonts w:ascii="Cambria Math" w:hAnsi="Cambria Math"/>
            </w:rPr>
            <m:t>(IM,</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r>
            <w:rPr>
              <w:rFonts w:ascii="Cambria Math" w:hAnsi="Cambria Math"/>
            </w:rPr>
            <m:t>ϵ </m:t>
          </m:r>
          <m:sSub>
            <m:sSubPr>
              <m:ctrlPr>
                <w:rPr>
                  <w:rFonts w:ascii="Cambria Math" w:hAnsi="Cambria Math"/>
                </w:rPr>
              </m:ctrlPr>
            </m:sSubPr>
            <m:e>
              <m:r>
                <w:rPr>
                  <w:rFonts w:ascii="Cambria Math" w:hAnsi="Cambria Math"/>
                </w:rPr>
                <m:t>σ</m:t>
              </m:r>
            </m:e>
            <m:sub>
              <m:r>
                <m:rPr>
                  <m:sty m:val="p"/>
                </m:rPr>
                <w:rPr>
                  <w:rFonts w:ascii="Cambria Math" w:hAnsi="Cambria Math"/>
                </w:rPr>
                <m:t>ln</m:t>
              </m:r>
              <m:r>
                <w:rPr>
                  <w:rFonts w:ascii="Cambria Math" w:hAnsi="Cambria Math"/>
                </w:rPr>
                <m:t>D</m:t>
              </m:r>
            </m:sub>
          </m:sSub>
        </m:oMath>
      </m:oMathPara>
    </w:p>
    <w:p w14:paraId="3BC15C0F" w14:textId="77777777" w:rsidR="006B596E" w:rsidRDefault="006B596E" w:rsidP="004E7A95">
      <w:pPr>
        <w:pStyle w:val="BodyText"/>
        <w:rPr>
          <w:lang w:val="en-CA"/>
        </w:rPr>
      </w:pPr>
    </w:p>
    <w:p w14:paraId="4F7BFCA8" w14:textId="1B59E6AE" w:rsidR="00DD2FCB" w:rsidRDefault="006B596E" w:rsidP="004E7A95">
      <w:pPr>
        <w:pStyle w:val="BodyText"/>
        <w:rPr>
          <w:lang w:val="en-US"/>
        </w:rPr>
      </w:pPr>
      <w:r>
        <w:rPr>
          <w:lang w:val="en-CA"/>
        </w:rPr>
        <w:t xml:space="preserve">where </w:t>
      </w:r>
      <m:oMath>
        <m:r>
          <m:rPr>
            <m:sty m:val="p"/>
          </m:rPr>
          <w:rPr>
            <w:rFonts w:ascii="Cambria Math" w:hAnsi="Cambria Math"/>
            <w:lang w:val="en-US"/>
          </w:rPr>
          <m:t>IM</m:t>
        </m:r>
      </m:oMath>
      <w:r w:rsidRPr="006B596E">
        <w:rPr>
          <w:lang w:val="en-US"/>
        </w:rPr>
        <w:t xml:space="preserve"> denotes the set of ground-motion intensity measures specific to each model (e.g., </w:t>
      </w:r>
      <m:oMath>
        <m:r>
          <m:rPr>
            <m:sty m:val="p"/>
          </m:rPr>
          <w:rPr>
            <w:rFonts w:ascii="Cambria Math" w:hAnsi="Cambria Math"/>
            <w:lang w:val="en-US"/>
          </w:rPr>
          <m:t>PGA</m:t>
        </m:r>
      </m:oMath>
      <w:r w:rsidRPr="006B596E">
        <w:rPr>
          <w:lang w:val="en-US"/>
        </w:rPr>
        <w:t xml:space="preserve">, spectral acceleration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6B596E">
        <w:rPr>
          <w:lang w:val="en-US"/>
        </w:rPr>
        <w:t xml:space="preserve"> at a reference period, Arias intensity </w:t>
      </w:r>
      <m:oMath>
        <m:r>
          <m:rPr>
            <m:sty m:val="p"/>
          </m:rPr>
          <w:rPr>
            <w:rFonts w:ascii="Cambria Math" w:hAnsi="Cambria Math"/>
            <w:lang w:val="en-US"/>
          </w:rPr>
          <m:t>AI</m:t>
        </m:r>
      </m:oMath>
      <w:r w:rsidRPr="006B596E">
        <w:rPr>
          <w:lang w:val="en-US"/>
        </w:rPr>
        <w:t xml:space="preserve">, or peak ground velocity </w:t>
      </w:r>
      <m:oMath>
        <m:r>
          <m:rPr>
            <m:sty m:val="p"/>
          </m:rPr>
          <w:rPr>
            <w:rFonts w:ascii="Cambria Math" w:hAnsi="Cambria Math"/>
            <w:lang w:val="en-US"/>
          </w:rPr>
          <m:t>PGV</m:t>
        </m:r>
      </m:oMath>
      <w:r w:rsidRPr="006B596E">
        <w:rPr>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6B596E">
        <w:rPr>
          <w:lang w:val="en-US"/>
        </w:rPr>
        <w:t xml:space="preserve"> is the fundamental period of the sliding mass</w:t>
      </w:r>
      <w:r w:rsidR="001C0BAF">
        <w:rPr>
          <w:lang w:val="en-US"/>
        </w:rPr>
        <w:t xml:space="preserve"> </w:t>
      </w:r>
      <w:r w:rsidR="001C0BAF" w:rsidRPr="001C0BAF">
        <w:rPr>
          <w:lang w:val="en-US"/>
        </w:rPr>
        <w:t>(</w:t>
      </w:r>
      <w:hyperlink w:anchor="ref-Ishihara1997">
        <w:r w:rsidR="001C0BAF" w:rsidRPr="001C0BAF">
          <w:rPr>
            <w:lang w:val="en-US"/>
          </w:rPr>
          <w:t xml:space="preserve">Ishihara </w:t>
        </w:r>
        <w:r w:rsidR="001C0BAF">
          <w:rPr>
            <w:lang w:val="en-US"/>
          </w:rPr>
          <w:t>(</w:t>
        </w:r>
        <w:r w:rsidR="001C0BAF" w:rsidRPr="001C0BAF">
          <w:rPr>
            <w:lang w:val="en-US"/>
          </w:rPr>
          <w:t>1997</w:t>
        </w:r>
      </w:hyperlink>
      <w:r w:rsidR="001C0BAF" w:rsidRPr="001C0BAF">
        <w:rPr>
          <w:lang w:val="en-US"/>
        </w:rPr>
        <w:t>)</w:t>
      </w:r>
      <w:r w:rsidR="001C0BAF">
        <w:rPr>
          <w:lang w:val="en-US"/>
        </w:rPr>
        <w:t>)</w:t>
      </w:r>
      <w:r w:rsidRPr="006B596E">
        <w:rPr>
          <w:lang w:val="en-US"/>
        </w:rPr>
        <w:t xml:space="preserve">;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6B596E">
        <w:rPr>
          <w:lang w:val="en-US"/>
        </w:rPr>
        <w:t xml:space="preserve"> is the earthquake moment magnitude where included as a model predictor; </w:t>
      </w:r>
      <m:oMath>
        <m:sSub>
          <m:sSubPr>
            <m:ctrlPr>
              <w:rPr>
                <w:rFonts w:ascii="Cambria Math" w:hAnsi="Cambria Math"/>
              </w:rPr>
            </m:ctrlPr>
          </m:sSubPr>
          <m:e>
            <m:r>
              <w:rPr>
                <w:rFonts w:ascii="Cambria Math" w:hAnsi="Cambria Math"/>
              </w:rPr>
              <m:t>μ</m:t>
            </m:r>
          </m:e>
          <m:sub>
            <m:r>
              <m:rPr>
                <m:sty m:val="p"/>
              </m:rPr>
              <w:rPr>
                <w:rFonts w:ascii="Cambria Math" w:hAnsi="Cambria Math"/>
                <w:lang w:val="en-US"/>
              </w:rPr>
              <m:t>ln</m:t>
            </m:r>
            <m:r>
              <w:rPr>
                <w:rFonts w:ascii="Cambria Math" w:hAnsi="Cambria Math"/>
              </w:rPr>
              <m:t>D</m:t>
            </m:r>
          </m:sub>
        </m:sSub>
      </m:oMath>
      <w:r w:rsidRPr="006B596E">
        <w:rPr>
          <w:lang w:val="en-US"/>
        </w:rPr>
        <w:t xml:space="preserve"> is the model-predicted mean displacement in natural-log space; </w:t>
      </w:r>
      <m:oMath>
        <m:sSub>
          <m:sSubPr>
            <m:ctrlPr>
              <w:rPr>
                <w:rFonts w:ascii="Cambria Math" w:hAnsi="Cambria Math"/>
              </w:rPr>
            </m:ctrlPr>
          </m:sSubPr>
          <m:e>
            <m:r>
              <w:rPr>
                <w:rFonts w:ascii="Cambria Math" w:hAnsi="Cambria Math"/>
              </w:rPr>
              <m:t>σ</m:t>
            </m:r>
          </m:e>
          <m:sub>
            <m:r>
              <m:rPr>
                <m:sty m:val="p"/>
              </m:rPr>
              <w:rPr>
                <w:rFonts w:ascii="Cambria Math" w:hAnsi="Cambria Math"/>
                <w:lang w:val="en-US"/>
              </w:rPr>
              <m:t>ln</m:t>
            </m:r>
            <m:r>
              <w:rPr>
                <w:rFonts w:ascii="Cambria Math" w:hAnsi="Cambria Math"/>
              </w:rPr>
              <m:t>D</m:t>
            </m:r>
          </m:sub>
        </m:sSub>
      </m:oMath>
      <w:r w:rsidRPr="006B596E">
        <w:rPr>
          <w:lang w:val="en-US"/>
        </w:rPr>
        <w:t xml:space="preserve"> is the associated standard deviation in natural-log space; and </w:t>
      </w:r>
      <m:oMath>
        <m:r>
          <w:rPr>
            <w:rFonts w:ascii="Cambria Math" w:hAnsi="Cambria Math"/>
          </w:rPr>
          <m:t>ϵ</m:t>
        </m:r>
        <m:r>
          <m:rPr>
            <m:sty m:val="p"/>
          </m:rPr>
          <w:rPr>
            <w:rFonts w:ascii="Cambria Math" w:hAnsi="Cambria Math"/>
            <w:lang w:val="en-US"/>
          </w:rPr>
          <m:t>∼</m:t>
        </m:r>
        <m:r>
          <m:rPr>
            <m:scr m:val="script"/>
            <m:sty m:val="p"/>
          </m:rPr>
          <w:rPr>
            <w:rFonts w:ascii="Cambria Math" w:hAnsi="Cambria Math"/>
          </w:rPr>
          <m:t>N</m:t>
        </m:r>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oMath>
      <w:r w:rsidRPr="006B596E">
        <w:rPr>
          <w:lang w:val="en-US"/>
        </w:rPr>
        <w:t xml:space="preserve"> is a standard-normal variate capturing record-to-record variability not explained by the regression.</w:t>
      </w:r>
    </w:p>
    <w:p w14:paraId="580D6044" w14:textId="24314B6C" w:rsidR="006E5AA1" w:rsidRDefault="00912BFA" w:rsidP="006E5AA1">
      <w:pPr>
        <w:pStyle w:val="BodyText"/>
        <w:rPr>
          <w:lang w:val="en-US"/>
        </w:rPr>
      </w:pPr>
      <w:r w:rsidRPr="00912BFA">
        <w:rPr>
          <w:lang w:val="en-US"/>
        </w:rPr>
        <w:t xml:space="preserve">The rigid-block </w:t>
      </w:r>
      <w:r w:rsidR="005B7C47">
        <w:rPr>
          <w:lang w:val="en-US"/>
        </w:rPr>
        <w:t>models</w:t>
      </w:r>
      <w:r w:rsidRPr="00912BFA">
        <w:rPr>
          <w:lang w:val="en-US"/>
        </w:rPr>
        <w:t xml:space="preserve"> </w:t>
      </w:r>
      <w:r w:rsidR="00203D45" w:rsidRPr="00912BFA">
        <w:rPr>
          <w:lang w:val="en-US"/>
        </w:rPr>
        <w:t>treat</w:t>
      </w:r>
      <w:r w:rsidRPr="00912BFA">
        <w:rPr>
          <w:lang w:val="en-US"/>
        </w:rPr>
        <w:t xml:space="preserve"> the sliding mass as an undistorted body that moves as a whole relative to the underlying ground, as described in the Probabilistic Model section. Dynamic amplification within the mass is negligible, and the response is governed entirely by the base excitation. This idealization is appropriate for shallow translational failure surfaces in relatively stiff materials whose fundamental period is short relative to the dominant periods of the input motion. Four rigid-block models are retained in the ensemble</w:t>
      </w:r>
      <w:r w:rsidR="00337904">
        <w:rPr>
          <w:lang w:val="en-US"/>
        </w:rPr>
        <w:t xml:space="preserve"> (</w:t>
      </w:r>
      <w:r w:rsidR="00223B7C" w:rsidRPr="00005897">
        <w:rPr>
          <w:lang w:val="en-US"/>
        </w:rPr>
        <w:t>Ambraseys and Menu</w:t>
      </w:r>
      <w:r w:rsidR="00223B7C" w:rsidRPr="00223B7C">
        <w:rPr>
          <w:lang w:val="en-US"/>
        </w:rPr>
        <w:t xml:space="preserve"> (</w:t>
      </w:r>
      <w:hyperlink w:anchor="ref-AmbraseysMenu1988">
        <w:r w:rsidR="00223B7C" w:rsidRPr="00005897">
          <w:rPr>
            <w:lang w:val="en-US"/>
          </w:rPr>
          <w:t>1988</w:t>
        </w:r>
      </w:hyperlink>
      <w:r w:rsidR="00223B7C" w:rsidRPr="00223B7C">
        <w:rPr>
          <w:lang w:val="en-US"/>
        </w:rPr>
        <w:t>)</w:t>
      </w:r>
      <w:r w:rsidR="00223B7C">
        <w:rPr>
          <w:lang w:val="en-US"/>
        </w:rPr>
        <w:t xml:space="preserve">, </w:t>
      </w:r>
      <w:r w:rsidR="004310B4" w:rsidRPr="00005897">
        <w:rPr>
          <w:lang w:val="en-US"/>
        </w:rPr>
        <w:t>Yegian, Marciano, and Varzaghian</w:t>
      </w:r>
      <w:r w:rsidR="004310B4" w:rsidRPr="004310B4">
        <w:rPr>
          <w:lang w:val="en-US"/>
        </w:rPr>
        <w:t xml:space="preserve"> (</w:t>
      </w:r>
      <w:hyperlink w:anchor="ref-YegianEtAl1991">
        <w:r w:rsidR="004310B4" w:rsidRPr="00005897">
          <w:rPr>
            <w:lang w:val="en-US"/>
          </w:rPr>
          <w:t>1991</w:t>
        </w:r>
      </w:hyperlink>
      <w:r w:rsidR="004310B4" w:rsidRPr="004310B4">
        <w:rPr>
          <w:lang w:val="en-US"/>
        </w:rPr>
        <w:t>)</w:t>
      </w:r>
      <w:r w:rsidR="004C14BF">
        <w:rPr>
          <w:lang w:val="en-US"/>
        </w:rPr>
        <w:t xml:space="preserve">, </w:t>
      </w:r>
      <w:r w:rsidR="004C14BF" w:rsidRPr="00005897">
        <w:rPr>
          <w:lang w:val="en-US"/>
        </w:rPr>
        <w:t>Jibson (</w:t>
      </w:r>
      <w:hyperlink w:anchor="ref-Jibson2007">
        <w:r w:rsidR="004C14BF" w:rsidRPr="00005897">
          <w:rPr>
            <w:lang w:val="en-US"/>
          </w:rPr>
          <w:t>2007</w:t>
        </w:r>
      </w:hyperlink>
      <w:r w:rsidR="004C14BF" w:rsidRPr="00005897">
        <w:rPr>
          <w:lang w:val="en-US"/>
        </w:rPr>
        <w:t>)</w:t>
      </w:r>
      <w:r w:rsidR="00005897">
        <w:rPr>
          <w:lang w:val="en-US"/>
        </w:rPr>
        <w:t xml:space="preserve">, </w:t>
      </w:r>
      <w:r w:rsidR="00005897" w:rsidRPr="00005897">
        <w:rPr>
          <w:lang w:val="en-US"/>
        </w:rPr>
        <w:t>Saygili and Rathje (</w:t>
      </w:r>
      <w:hyperlink w:anchor="ref-SaygiliRathje2008">
        <w:r w:rsidR="00005897" w:rsidRPr="00005897">
          <w:rPr>
            <w:lang w:val="en-US"/>
          </w:rPr>
          <w:t>2008</w:t>
        </w:r>
      </w:hyperlink>
      <w:r w:rsidR="00005897" w:rsidRPr="00005897">
        <w:rPr>
          <w:lang w:val="en-US"/>
        </w:rPr>
        <w:t>)</w:t>
      </w:r>
      <w:r w:rsidR="00005897">
        <w:rPr>
          <w:lang w:val="en-US"/>
        </w:rPr>
        <w:t>)</w:t>
      </w:r>
      <w:r w:rsidR="006E5AA1">
        <w:rPr>
          <w:lang w:val="en-US"/>
        </w:rPr>
        <w:t>.</w:t>
      </w:r>
    </w:p>
    <w:p w14:paraId="11BE8C9F" w14:textId="0CF79564" w:rsidR="006E5AA1" w:rsidRPr="00D8000F" w:rsidRDefault="006E5AA1" w:rsidP="006E5AA1">
      <w:pPr>
        <w:pStyle w:val="BodyText"/>
        <w:rPr>
          <w:szCs w:val="18"/>
          <w:lang w:val="en-US"/>
        </w:rPr>
      </w:pPr>
      <w:r w:rsidRPr="006E5AA1">
        <w:rPr>
          <w:snapToGrid/>
          <w:szCs w:val="18"/>
          <w:lang w:val="en-US"/>
        </w:rPr>
        <w:t>Flexible-block models account for the dynamic</w:t>
      </w:r>
      <w:r w:rsidRPr="006E5AA1">
        <w:rPr>
          <w:szCs w:val="18"/>
          <w:lang w:val="en-US"/>
        </w:rPr>
        <w:t xml:space="preserve"> response of the sliding mass as a deformable body, as described in the Probabilistic Model section, by incorporating the fundamental period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n</m:t>
            </m:r>
          </m:sub>
        </m:sSub>
      </m:oMath>
      <w:r w:rsidRPr="006E5AA1">
        <w:rPr>
          <w:szCs w:val="18"/>
          <w:lang w:val="en-US"/>
        </w:rPr>
        <w:t xml:space="preserve"> and spectral acceleration </w:t>
      </w:r>
      <m:oMath>
        <m:sSub>
          <m:sSubPr>
            <m:ctrlPr>
              <w:rPr>
                <w:rFonts w:ascii="Cambria Math" w:hAnsi="Cambria Math"/>
                <w:szCs w:val="18"/>
              </w:rPr>
            </m:ctrlPr>
          </m:sSubPr>
          <m:e>
            <m:r>
              <w:rPr>
                <w:rFonts w:ascii="Cambria Math" w:hAnsi="Cambria Math"/>
                <w:szCs w:val="18"/>
              </w:rPr>
              <m:t>S</m:t>
            </m:r>
          </m:e>
          <m:sub>
            <m:r>
              <w:rPr>
                <w:rFonts w:ascii="Cambria Math" w:hAnsi="Cambria Math"/>
                <w:szCs w:val="18"/>
              </w:rPr>
              <m:t>a</m:t>
            </m:r>
          </m:sub>
        </m:sSub>
      </m:oMath>
      <w:r w:rsidRPr="006E5AA1">
        <w:rPr>
          <w:szCs w:val="18"/>
          <w:lang w:val="en-US"/>
        </w:rPr>
        <w:t xml:space="preserve"> evaluated at a period proportional to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n</m:t>
            </m:r>
          </m:sub>
        </m:sSub>
      </m:oMath>
      <w:r w:rsidRPr="006E5AA1">
        <w:rPr>
          <w:szCs w:val="18"/>
          <w:lang w:val="en-US"/>
        </w:rPr>
        <w:t xml:space="preserve">. </w:t>
      </w:r>
      <w:r w:rsidRPr="00D8000F">
        <w:rPr>
          <w:szCs w:val="18"/>
          <w:lang w:val="en-US"/>
        </w:rPr>
        <w:t xml:space="preserve">All three flexible-block models include an explicit dependence on </w:t>
      </w:r>
      <m:oMath>
        <m:sSub>
          <m:sSubPr>
            <m:ctrlPr>
              <w:rPr>
                <w:rFonts w:ascii="Cambria Math" w:hAnsi="Cambria Math"/>
                <w:szCs w:val="18"/>
              </w:rPr>
            </m:ctrlPr>
          </m:sSubPr>
          <m:e>
            <m:r>
              <w:rPr>
                <w:rFonts w:ascii="Cambria Math" w:hAnsi="Cambria Math"/>
                <w:szCs w:val="18"/>
              </w:rPr>
              <m:t>M</m:t>
            </m:r>
          </m:e>
          <m:sub>
            <m:r>
              <w:rPr>
                <w:rFonts w:ascii="Cambria Math" w:hAnsi="Cambria Math"/>
                <w:szCs w:val="18"/>
              </w:rPr>
              <m:t>w</m:t>
            </m:r>
          </m:sub>
        </m:sSub>
      </m:oMath>
      <w:r w:rsidRPr="00D8000F">
        <w:rPr>
          <w:szCs w:val="18"/>
          <w:lang w:val="en-US"/>
        </w:rPr>
        <w:t xml:space="preserve"> to account for the influence of earthquake duration on accumulated displacement. </w:t>
      </w:r>
      <w:r w:rsidRPr="00A8549E">
        <w:rPr>
          <w:szCs w:val="18"/>
          <w:lang w:val="en-US"/>
        </w:rPr>
        <w:t>These models are appropriate for deeper-seated failure surfaces in earth dams, natural slopes, compacted fills, and waste embankments where the sliding mass has significant deformabil</w:t>
      </w:r>
      <w:r w:rsidRPr="00D8000F">
        <w:rPr>
          <w:szCs w:val="18"/>
          <w:lang w:val="en-US"/>
        </w:rPr>
        <w:t>ity</w:t>
      </w:r>
      <w:r w:rsidR="00A8549E" w:rsidRPr="00D8000F">
        <w:rPr>
          <w:szCs w:val="18"/>
          <w:lang w:val="en-US"/>
        </w:rPr>
        <w:t xml:space="preserve"> (Bray, Macedo, and Travasarou (</w:t>
      </w:r>
      <w:hyperlink w:anchor="ref-BrayEtAl2017">
        <w:r w:rsidR="00A8549E" w:rsidRPr="00D8000F">
          <w:rPr>
            <w:szCs w:val="18"/>
            <w:lang w:val="en-US"/>
          </w:rPr>
          <w:t>2017</w:t>
        </w:r>
      </w:hyperlink>
      <w:r w:rsidR="00A8549E" w:rsidRPr="00D8000F">
        <w:rPr>
          <w:szCs w:val="18"/>
          <w:lang w:val="en-US"/>
        </w:rPr>
        <w:t xml:space="preserve">), </w:t>
      </w:r>
      <w:r w:rsidR="00C7358D" w:rsidRPr="00D8000F">
        <w:rPr>
          <w:szCs w:val="18"/>
          <w:lang w:val="en-US"/>
        </w:rPr>
        <w:t>Bray and Macedo (</w:t>
      </w:r>
      <w:hyperlink w:anchor="ref-BrayMacedo2019">
        <w:r w:rsidR="00C7358D" w:rsidRPr="00D8000F">
          <w:rPr>
            <w:szCs w:val="18"/>
            <w:lang w:val="en-US"/>
          </w:rPr>
          <w:t>2019</w:t>
        </w:r>
      </w:hyperlink>
      <w:r w:rsidR="00C7358D" w:rsidRPr="00D8000F">
        <w:rPr>
          <w:szCs w:val="18"/>
          <w:lang w:val="en-US"/>
        </w:rPr>
        <w:t xml:space="preserve">), </w:t>
      </w:r>
      <w:r w:rsidR="000B4FBD" w:rsidRPr="00D8000F">
        <w:rPr>
          <w:szCs w:val="18"/>
          <w:lang w:val="en-US"/>
        </w:rPr>
        <w:t>Bray and Travasarou (</w:t>
      </w:r>
      <w:hyperlink w:anchor="ref-BrayTravasarou2007">
        <w:r w:rsidR="000B4FBD" w:rsidRPr="00D8000F">
          <w:rPr>
            <w:szCs w:val="18"/>
            <w:lang w:val="en-US"/>
          </w:rPr>
          <w:t>2007</w:t>
        </w:r>
      </w:hyperlink>
      <w:r w:rsidR="000B4FBD" w:rsidRPr="00D8000F">
        <w:rPr>
          <w:szCs w:val="18"/>
          <w:lang w:val="en-US"/>
        </w:rPr>
        <w:t>))</w:t>
      </w:r>
      <w:r w:rsidRPr="00D8000F">
        <w:rPr>
          <w:szCs w:val="18"/>
          <w:lang w:val="en-US"/>
        </w:rPr>
        <w:t>.</w:t>
      </w:r>
    </w:p>
    <w:p w14:paraId="1125E07B" w14:textId="77777777" w:rsidR="001B2C12" w:rsidRDefault="001B2C12" w:rsidP="00077D34">
      <w:pPr>
        <w:pStyle w:val="BodyText"/>
        <w:rPr>
          <w:szCs w:val="18"/>
          <w:lang w:val="en-US"/>
        </w:rPr>
      </w:pPr>
    </w:p>
    <w:p w14:paraId="32BE212E" w14:textId="17E59C71" w:rsidR="001B2C12" w:rsidRDefault="001B2C12" w:rsidP="001B2C12">
      <w:pPr>
        <w:pStyle w:val="Heading1"/>
        <w:numPr>
          <w:ilvl w:val="0"/>
          <w:numId w:val="19"/>
        </w:numPr>
        <w:jc w:val="left"/>
      </w:pPr>
      <w:r>
        <w:t xml:space="preserve">Suggested </w:t>
      </w:r>
      <w:r w:rsidR="0017091B">
        <w:t xml:space="preserve">approach to assess the residusal displacement using </w:t>
      </w:r>
      <w:r>
        <w:t xml:space="preserve">Newmark displacement models </w:t>
      </w:r>
    </w:p>
    <w:p w14:paraId="253FC5E4" w14:textId="77777777" w:rsidR="001B2C12" w:rsidRDefault="001B2C12" w:rsidP="00077D34">
      <w:pPr>
        <w:pStyle w:val="BodyText"/>
        <w:rPr>
          <w:szCs w:val="18"/>
          <w:lang w:val="en-US"/>
        </w:rPr>
      </w:pPr>
    </w:p>
    <w:p w14:paraId="5D967926" w14:textId="1248DF52" w:rsidR="00077D34" w:rsidRPr="000907C8" w:rsidRDefault="001B2C12" w:rsidP="00077D34">
      <w:pPr>
        <w:pStyle w:val="BodyText"/>
        <w:rPr>
          <w:rFonts w:eastAsiaTheme="minorHAnsi" w:cstheme="minorBidi"/>
          <w:snapToGrid/>
          <w:color w:val="000000" w:themeColor="text1"/>
          <w:kern w:val="2"/>
          <w:lang w:val="en-CA" w:eastAsia="en-US"/>
          <w14:ligatures w14:val="standardContextual"/>
        </w:rPr>
      </w:pPr>
      <w:r>
        <w:rPr>
          <w:szCs w:val="18"/>
          <w:lang w:val="en-US"/>
        </w:rPr>
        <w:t xml:space="preserve">Considering that the </w:t>
      </w:r>
      <w:r w:rsidR="00A35FAF" w:rsidRPr="00A35FAF">
        <w:rPr>
          <w:szCs w:val="18"/>
          <w:lang w:val="en-US"/>
        </w:rPr>
        <w:t xml:space="preserve">four rigid-block models and three flexible-block models described above were developed </w:t>
      </w:r>
      <w:r w:rsidR="00A35FAF" w:rsidRPr="000907C8">
        <w:rPr>
          <w:rFonts w:eastAsiaTheme="minorHAnsi" w:cstheme="minorBidi"/>
          <w:snapToGrid/>
          <w:color w:val="000000" w:themeColor="text1"/>
          <w:kern w:val="2"/>
          <w:lang w:val="en-CA" w:eastAsia="en-US"/>
          <w14:ligatures w14:val="standardContextual"/>
        </w:rPr>
        <w:t>under specific assumptions and each has its own limitations and associated uncertainties.</w:t>
      </w:r>
      <w:r w:rsidR="003072F7" w:rsidRPr="000907C8">
        <w:rPr>
          <w:rFonts w:eastAsiaTheme="minorHAnsi" w:cstheme="minorBidi"/>
          <w:snapToGrid/>
          <w:color w:val="000000" w:themeColor="text1"/>
          <w:kern w:val="2"/>
          <w:lang w:val="en-CA" w:eastAsia="en-US"/>
          <w14:ligatures w14:val="standardContextual"/>
        </w:rPr>
        <w:t xml:space="preserve"> Therefore, rather than relying on a single preferred model, </w:t>
      </w:r>
      <w:r w:rsidR="000907C8" w:rsidRPr="000907C8">
        <w:rPr>
          <w:rFonts w:eastAsiaTheme="minorHAnsi" w:cstheme="minorBidi"/>
          <w:snapToGrid/>
          <w:color w:val="000000" w:themeColor="text1"/>
          <w:kern w:val="2"/>
          <w:lang w:val="en-CA" w:eastAsia="en-US"/>
          <w14:ligatures w14:val="standardContextual"/>
        </w:rPr>
        <w:t xml:space="preserve">it is recommended </w:t>
      </w:r>
      <w:r w:rsidR="000907C8" w:rsidRPr="000907C8">
        <w:rPr>
          <w:rFonts w:eastAsiaTheme="minorHAnsi" w:cstheme="minorBidi"/>
          <w:snapToGrid/>
          <w:color w:val="000000" w:themeColor="text1"/>
          <w:kern w:val="2"/>
          <w:lang w:val="en-CA" w:eastAsia="en-US"/>
          <w14:ligatures w14:val="standardContextual"/>
        </w:rPr>
        <w:lastRenderedPageBreak/>
        <w:t xml:space="preserve">that </w:t>
      </w:r>
      <w:r w:rsidR="003072F7" w:rsidRPr="000907C8">
        <w:rPr>
          <w:rFonts w:eastAsiaTheme="minorHAnsi" w:cstheme="minorBidi"/>
          <w:snapToGrid/>
          <w:color w:val="000000" w:themeColor="text1"/>
          <w:kern w:val="2"/>
          <w:lang w:val="en-CA" w:eastAsia="en-US"/>
          <w14:ligatures w14:val="standardContextual"/>
        </w:rPr>
        <w:t xml:space="preserve">all seven relationships be retained and their results aggregated through a logic-tree weighting scheme, thereby representing epistemic uncertainty in model choice as a formal component of the </w:t>
      </w:r>
      <w:r w:rsidR="000D3F69" w:rsidRPr="000907C8">
        <w:rPr>
          <w:rFonts w:eastAsiaTheme="minorHAnsi" w:cstheme="minorBidi"/>
          <w:snapToGrid/>
          <w:color w:val="000000" w:themeColor="text1"/>
          <w:kern w:val="2"/>
          <w:lang w:val="en-CA" w:eastAsia="en-US"/>
          <w14:ligatures w14:val="standardContextual"/>
        </w:rPr>
        <w:t>assessment</w:t>
      </w:r>
      <w:r w:rsidR="003072F7" w:rsidRPr="000907C8">
        <w:rPr>
          <w:rFonts w:eastAsiaTheme="minorHAnsi" w:cstheme="minorBidi"/>
          <w:snapToGrid/>
          <w:color w:val="000000" w:themeColor="text1"/>
          <w:kern w:val="2"/>
          <w:lang w:val="en-CA" w:eastAsia="en-US"/>
          <w14:ligatures w14:val="standardContextual"/>
        </w:rPr>
        <w:t>.</w:t>
      </w:r>
      <w:r w:rsidR="00077D34" w:rsidRPr="000907C8">
        <w:rPr>
          <w:rFonts w:eastAsiaTheme="minorHAnsi" w:cstheme="minorBidi"/>
          <w:snapToGrid/>
          <w:color w:val="000000" w:themeColor="text1"/>
          <w:kern w:val="2"/>
          <w:lang w:val="en-CA" w:eastAsia="en-US"/>
          <w14:ligatures w14:val="standardContextual"/>
        </w:rPr>
        <w:t xml:space="preserve"> The weighting strategy should assigns greater weight to more recent models on the basis that they were calibrated against larger ground-motion databases</w:t>
      </w:r>
      <w:r w:rsidRPr="000907C8">
        <w:rPr>
          <w:rFonts w:eastAsiaTheme="minorHAnsi" w:cstheme="minorBidi"/>
          <w:snapToGrid/>
          <w:color w:val="000000" w:themeColor="text1"/>
          <w:kern w:val="2"/>
          <w:lang w:val="en-CA" w:eastAsia="en-US"/>
          <w14:ligatures w14:val="standardContextual"/>
        </w:rPr>
        <w:t>, and the l</w:t>
      </w:r>
      <w:r w:rsidR="00077D34" w:rsidRPr="000907C8">
        <w:rPr>
          <w:rFonts w:eastAsiaTheme="minorHAnsi" w:cstheme="minorBidi"/>
          <w:snapToGrid/>
          <w:color w:val="000000" w:themeColor="text1"/>
          <w:kern w:val="2"/>
          <w:lang w:val="en-CA" w:eastAsia="en-US"/>
          <w14:ligatures w14:val="standardContextual"/>
        </w:rPr>
        <w:t xml:space="preserve">ogic-tree weights </w:t>
      </w:r>
      <w:r w:rsidRPr="000907C8">
        <w:rPr>
          <w:rFonts w:eastAsiaTheme="minorHAnsi" w:cstheme="minorBidi"/>
          <w:snapToGrid/>
          <w:color w:val="000000" w:themeColor="text1"/>
          <w:kern w:val="2"/>
          <w:lang w:val="en-CA" w:eastAsia="en-US"/>
          <w14:ligatures w14:val="standardContextual"/>
        </w:rPr>
        <w:t>should be</w:t>
      </w:r>
      <w:r w:rsidR="00077D34" w:rsidRPr="000907C8">
        <w:rPr>
          <w:rFonts w:eastAsiaTheme="minorHAnsi" w:cstheme="minorBidi"/>
          <w:snapToGrid/>
          <w:color w:val="000000" w:themeColor="text1"/>
          <w:kern w:val="2"/>
          <w:lang w:val="en-CA" w:eastAsia="en-US"/>
          <w14:ligatures w14:val="standardContextual"/>
        </w:rPr>
        <w:t xml:space="preserve"> assigned prior to aggregation, maintaining explicit separation between epistemic model uncertainty and aleatory ground-motion variability throughout the simulation.</w:t>
      </w:r>
    </w:p>
    <w:p w14:paraId="0F60ECE8" w14:textId="34B1B330" w:rsidR="003072F7" w:rsidRPr="003072F7" w:rsidRDefault="0020000A" w:rsidP="003072F7">
      <w:pPr>
        <w:pStyle w:val="BodyText"/>
        <w:rPr>
          <w:szCs w:val="18"/>
          <w:lang w:val="en-US"/>
        </w:rPr>
      </w:pPr>
      <w:r w:rsidRPr="0020000A">
        <w:rPr>
          <w:lang w:val="en-US"/>
        </w:rPr>
        <w:t>Ground</w:t>
      </w:r>
      <w:r w:rsidRPr="0020000A">
        <w:rPr>
          <w:rFonts w:ascii="Cambria Math" w:hAnsi="Cambria Math" w:cs="Cambria Math"/>
          <w:lang w:val="en-US"/>
        </w:rPr>
        <w:t>‐</w:t>
      </w:r>
      <w:r w:rsidRPr="0020000A">
        <w:rPr>
          <w:lang w:val="en-US"/>
        </w:rPr>
        <w:t xml:space="preserve">motion intensity measures for each </w:t>
      </w:r>
      <w:r>
        <w:rPr>
          <w:lang w:val="en-US"/>
        </w:rPr>
        <w:t xml:space="preserve">Newmark </w:t>
      </w:r>
      <w:r w:rsidRPr="0020000A">
        <w:rPr>
          <w:lang w:val="en-US"/>
        </w:rPr>
        <w:t>model</w:t>
      </w:r>
      <w:r>
        <w:rPr>
          <w:lang w:val="en-US"/>
        </w:rPr>
        <w:t>s</w:t>
      </w:r>
      <w:r w:rsidRPr="0020000A">
        <w:rPr>
          <w:lang w:val="en-US"/>
        </w:rPr>
        <w:t xml:space="preserve"> </w:t>
      </w:r>
      <w:r w:rsidR="00375A30">
        <w:rPr>
          <w:lang w:val="en-US"/>
        </w:rPr>
        <w:t xml:space="preserve">should be </w:t>
      </w:r>
      <w:r w:rsidRPr="0020000A">
        <w:rPr>
          <w:lang w:val="en-US"/>
        </w:rPr>
        <w:t xml:space="preserve">sampled from </w:t>
      </w:r>
      <w:r w:rsidR="00634A3C" w:rsidRPr="00634A3C">
        <w:rPr>
          <w:lang w:val="en-US"/>
        </w:rPr>
        <w:t>probabilistic seismic hazard analysis (</w:t>
      </w:r>
      <w:r w:rsidRPr="0020000A">
        <w:rPr>
          <w:lang w:val="en-US"/>
        </w:rPr>
        <w:t>PSHA</w:t>
      </w:r>
      <w:r w:rsidR="00634A3C">
        <w:rPr>
          <w:lang w:val="en-US"/>
        </w:rPr>
        <w:t xml:space="preserve">) </w:t>
      </w:r>
      <w:r w:rsidRPr="0020000A">
        <w:rPr>
          <w:lang w:val="en-US"/>
        </w:rPr>
        <w:t>derived empirical quantile distributions using a Monte Carlo procedure that preserves period dependence, applies period</w:t>
      </w:r>
      <w:r w:rsidRPr="0020000A">
        <w:rPr>
          <w:lang w:val="en-US"/>
        </w:rPr>
        <w:noBreakHyphen/>
        <w:t>dependent site amplification (with its own uncertainty), and maintains inter</w:t>
      </w:r>
      <w:r w:rsidRPr="0020000A">
        <w:rPr>
          <w:lang w:val="en-US"/>
        </w:rPr>
        <w:noBreakHyphen/>
        <w:t>period correlation. For each realization and each model, log</w:t>
      </w:r>
      <w:r w:rsidRPr="0020000A">
        <w:rPr>
          <w:lang w:val="en-US"/>
        </w:rPr>
        <w:noBreakHyphen/>
        <w:t>displacement is computed from a common lognormal functional form, with model</w:t>
      </w:r>
      <w:r w:rsidRPr="0020000A">
        <w:rPr>
          <w:lang w:val="en-US"/>
        </w:rPr>
        <w:noBreakHyphen/>
        <w:t>specific aleatory variability represented by the regression standard deviation and propagated independently across models. Ensemble predictions are then obtained by weighting individual models according to their logic</w:t>
      </w:r>
      <w:r w:rsidRPr="0020000A">
        <w:rPr>
          <w:lang w:val="en-US"/>
        </w:rPr>
        <w:noBreakHyphen/>
        <w:t>tree weights, and displacement quantiles (e.g., median, 84th, 95th) are read directly from the resulting empirical distributions. The performance</w:t>
      </w:r>
      <w:r w:rsidRPr="0020000A">
        <w:rPr>
          <w:lang w:val="en-US"/>
        </w:rPr>
        <w:noBreakHyphen/>
        <w:t xml:space="preserve">based seismic coefficient </w:t>
      </w:r>
      <m:oMath>
        <m:r>
          <w:rPr>
            <w:rFonts w:ascii="Cambria Math" w:hAnsi="Cambria Math"/>
            <w:highlight w:val="yellow"/>
          </w:rPr>
          <m:t>k</m:t>
        </m:r>
      </m:oMath>
      <w:r w:rsidR="00A61C35" w:rsidRPr="00A61C35">
        <w:rPr>
          <w:lang w:val="en-US"/>
        </w:rPr>
        <w:t xml:space="preserve"> </w:t>
      </w:r>
      <w:r w:rsidRPr="0020000A">
        <w:rPr>
          <w:lang w:val="en-US"/>
        </w:rPr>
        <w:t>is determined by finding, for each slope configuration and service level, the minimum yield acceleration</w:t>
      </w:r>
      <w:r w:rsidR="00A61C35">
        <w:rPr>
          <w:lang w:val="en-US"/>
        </w:rPr>
        <w:t xml:space="preserve">, </w:t>
      </w:r>
      <w:r w:rsidR="00A61C35" w:rsidRPr="00A61C35">
        <w:rPr>
          <w:highlight w:val="yellow"/>
          <w:lang w:val="en-US"/>
        </w:rPr>
        <w:t>k</w:t>
      </w:r>
      <w:r w:rsidR="00A61C35">
        <w:rPr>
          <w:lang w:val="en-US"/>
        </w:rPr>
        <w:t>,</w:t>
      </w:r>
      <w:r w:rsidRPr="0020000A">
        <w:rPr>
          <w:lang w:val="en-US"/>
        </w:rPr>
        <w:t xml:space="preserve"> for which the probability of exceeding a specified displacement threshold </w:t>
      </w:r>
      <w:r w:rsidR="00A61C35">
        <w:rPr>
          <w:lang w:val="en-US"/>
        </w:rPr>
        <w:t>(</w:t>
      </w:r>
      <w:r w:rsidR="00A61C35" w:rsidRPr="00A61C35">
        <w:rPr>
          <w:highlight w:val="yellow"/>
          <w:lang w:val="en-US"/>
        </w:rPr>
        <w:t>D</w:t>
      </w:r>
      <w:r w:rsidR="00A61C35">
        <w:rPr>
          <w:lang w:val="en-US"/>
        </w:rPr>
        <w:t xml:space="preserve">) </w:t>
      </w:r>
      <w:r w:rsidRPr="0020000A">
        <w:rPr>
          <w:lang w:val="en-US"/>
        </w:rPr>
        <w:t>does not exceed a target value</w:t>
      </w:r>
      <w:r w:rsidR="00F8673A">
        <w:rPr>
          <w:lang w:val="en-US"/>
        </w:rPr>
        <w:t xml:space="preserve"> (</w:t>
      </w:r>
      <w:r w:rsidR="00F8673A" w:rsidRPr="00F8673A">
        <w:rPr>
          <w:highlight w:val="yellow"/>
          <w:lang w:val="en-US"/>
        </w:rPr>
        <w:t>D</w:t>
      </w:r>
      <w:r w:rsidR="00F8673A">
        <w:rPr>
          <w:lang w:val="en-US"/>
        </w:rPr>
        <w:t>)</w:t>
      </w:r>
      <w:r w:rsidRPr="0020000A">
        <w:rPr>
          <w:lang w:val="en-US"/>
        </w:rPr>
        <w:t xml:space="preserve">, yielding tabulated </w:t>
      </w:r>
      <m:oMath>
        <m:r>
          <w:rPr>
            <w:rFonts w:ascii="Cambria Math" w:hAnsi="Cambria Math"/>
            <w:highlight w:val="yellow"/>
          </w:rPr>
          <m:t>k</m:t>
        </m:r>
      </m:oMath>
      <w:r w:rsidR="005C5BCE" w:rsidRPr="005C5BCE">
        <w:rPr>
          <w:lang w:val="en-US"/>
        </w:rPr>
        <w:t xml:space="preserve"> </w:t>
      </w:r>
      <w:r w:rsidRPr="0020000A">
        <w:rPr>
          <w:lang w:val="en-US"/>
        </w:rPr>
        <w:t>values over the full range of design return periods.</w:t>
      </w:r>
    </w:p>
    <w:p w14:paraId="5BA17BF4" w14:textId="146D3D47" w:rsidR="00912BFA" w:rsidRPr="003072F7" w:rsidRDefault="00912BFA" w:rsidP="00912BFA">
      <w:pPr>
        <w:pStyle w:val="BodyText"/>
        <w:rPr>
          <w:szCs w:val="18"/>
          <w:lang w:val="en-CA"/>
        </w:rPr>
      </w:pPr>
    </w:p>
    <w:p w14:paraId="43FEE62D" w14:textId="77777777" w:rsidR="005C5BCE" w:rsidRDefault="005C5BCE" w:rsidP="005C5BCE">
      <w:pPr>
        <w:rPr>
          <w:rFonts w:cs="Arial"/>
        </w:rPr>
      </w:pPr>
    </w:p>
    <w:p w14:paraId="074AC193" w14:textId="77777777" w:rsidR="00E20C7A" w:rsidRDefault="00936D20" w:rsidP="005C5BCE">
      <w:pPr>
        <w:pStyle w:val="Heading1"/>
        <w:numPr>
          <w:ilvl w:val="0"/>
          <w:numId w:val="19"/>
        </w:numPr>
      </w:pPr>
      <w:r>
        <w:t xml:space="preserve">Application of the </w:t>
      </w:r>
      <w:r w:rsidR="00E20C7A">
        <w:t>suggested approach</w:t>
      </w:r>
    </w:p>
    <w:p w14:paraId="2FC21728" w14:textId="77777777" w:rsidR="000468A0" w:rsidRDefault="000468A0" w:rsidP="000468A0"/>
    <w:p w14:paraId="2F37A2A3" w14:textId="77777777" w:rsidR="000468A0" w:rsidRDefault="000468A0" w:rsidP="000468A0"/>
    <w:p w14:paraId="2360F9E2" w14:textId="77777777" w:rsidR="000468A0" w:rsidRDefault="000468A0" w:rsidP="000468A0">
      <w:pPr>
        <w:pStyle w:val="Heading1"/>
        <w:numPr>
          <w:ilvl w:val="1"/>
          <w:numId w:val="19"/>
        </w:numPr>
      </w:pPr>
      <w:r>
        <w:t>pseudo-static stability assessment outcomes</w:t>
      </w:r>
    </w:p>
    <w:p w14:paraId="7E97DF5D" w14:textId="0521DF17" w:rsidR="000468A0" w:rsidRPr="000468A0" w:rsidRDefault="000468A0" w:rsidP="000468A0">
      <w:commentRangeStart w:id="2"/>
      <w:r w:rsidRPr="000468A0">
        <w:rPr>
          <w:highlight w:val="yellow"/>
        </w:rPr>
        <w:t>XX</w:t>
      </w:r>
      <w:commentRangeEnd w:id="2"/>
      <w:r w:rsidRPr="000468A0">
        <w:rPr>
          <w:rStyle w:val="CommentReference"/>
          <w:sz w:val="18"/>
          <w:szCs w:val="20"/>
        </w:rPr>
        <w:commentReference w:id="2"/>
      </w:r>
    </w:p>
    <w:p w14:paraId="3557A69C" w14:textId="77777777" w:rsidR="00E20C7A" w:rsidRPr="00E20C7A" w:rsidRDefault="00E20C7A" w:rsidP="00E20C7A"/>
    <w:p w14:paraId="24D12AD6" w14:textId="4A7E4CA5" w:rsidR="005C5BCE" w:rsidRDefault="00515724" w:rsidP="00E20C7A">
      <w:pPr>
        <w:pStyle w:val="Heading1"/>
        <w:numPr>
          <w:ilvl w:val="1"/>
          <w:numId w:val="19"/>
        </w:numPr>
      </w:pPr>
      <w:r>
        <w:t>stability assessment</w:t>
      </w:r>
      <w:commentRangeStart w:id="3"/>
      <w:r w:rsidR="005C5BCE">
        <w:t xml:space="preserve"> </w:t>
      </w:r>
      <w:commentRangeEnd w:id="3"/>
      <w:r>
        <w:rPr>
          <w:rStyle w:val="CommentReference"/>
          <w:sz w:val="18"/>
          <w:szCs w:val="20"/>
        </w:rPr>
        <w:commentReference w:id="3"/>
      </w:r>
    </w:p>
    <w:p w14:paraId="07650918" w14:textId="77777777" w:rsidR="005C5BCE" w:rsidRPr="00014A85" w:rsidRDefault="005C5BCE" w:rsidP="005C5BCE"/>
    <w:p w14:paraId="4A1A9DC8" w14:textId="77777777" w:rsidR="005C5BCE" w:rsidRPr="00515724" w:rsidRDefault="005C5BCE" w:rsidP="005C5BCE">
      <w:pPr>
        <w:rPr>
          <w:highlight w:val="red"/>
        </w:rPr>
      </w:pPr>
      <w:r w:rsidRPr="00515724">
        <w:rPr>
          <w:highlight w:val="red"/>
        </w:rPr>
        <w:t xml:space="preserve">The TSF comprises a series of containment embankments founded on proximal glaciolacustrine deposits of the Barlow–Ojibway clay complex. The embankments are constructed of compacted sand and gravel, with a geomembrane clay liner (GCL) placed on the upstream slopes. The tallest embankment segment is approximately 13 m in height, while the lowest is about 2.5 m. The operating water level allows of a permanent freeboard of 2.0 m. The downstream slope of the embankments are considered as not erodible and these are classified as having a “Significant” classification as per the CDA guidelines.    </w:t>
      </w:r>
    </w:p>
    <w:p w14:paraId="7A23E71B" w14:textId="77777777" w:rsidR="005C5BCE" w:rsidRPr="00515724" w:rsidRDefault="005C5BCE" w:rsidP="005C5BCE">
      <w:pPr>
        <w:rPr>
          <w:highlight w:val="red"/>
        </w:rPr>
      </w:pPr>
      <w:r w:rsidRPr="00515724">
        <w:rPr>
          <w:highlight w:val="red"/>
        </w:rPr>
        <w:t>Beneath the glaciolacustrine clays, a stratified silt unit is present. As illustrated in Figures 2 and 3, this unit exhibits sand</w:t>
      </w:r>
      <w:r w:rsidRPr="00515724">
        <w:rPr>
          <w:highlight w:val="red"/>
        </w:rPr>
        <w:noBreakHyphen/>
        <w:t>like or transitional behaviour and is predominantly dilative. Isotropically consolidated undrained (ICU) triaxial tests performed on undisturbed samples recovered using a 3</w:t>
      </w:r>
      <w:r w:rsidRPr="00515724">
        <w:rPr>
          <w:highlight w:val="red"/>
        </w:rPr>
        <w:noBreakHyphen/>
        <w:t>inch Osterberg sampler confirm this dilative response (Figure 3). To characterize the small</w:t>
      </w:r>
      <w:r w:rsidRPr="00515724">
        <w:rPr>
          <w:highlight w:val="red"/>
        </w:rPr>
        <w:noBreakHyphen/>
        <w:t xml:space="preserve">strain stiffness profile </w:t>
      </w:r>
      <w:r w:rsidRPr="00515724">
        <w:rPr>
          <w:highlight w:val="red"/>
        </w:rPr>
        <w:t>and dynamic properties of this sequence, shear</w:t>
      </w:r>
      <w:r w:rsidRPr="00515724">
        <w:rPr>
          <w:highlight w:val="red"/>
        </w:rPr>
        <w:noBreakHyphen/>
        <w:t>wave velocities (Vs) were measured using seismic piezocone soundings; the resulting Vs profiles across the site are presented in Figure 5.</w:t>
      </w:r>
    </w:p>
    <w:p w14:paraId="4E65F4C3" w14:textId="77777777" w:rsidR="005C5BCE" w:rsidRPr="00515724" w:rsidRDefault="005C5BCE" w:rsidP="005C5BCE">
      <w:pPr>
        <w:rPr>
          <w:highlight w:val="red"/>
        </w:rPr>
      </w:pPr>
    </w:p>
    <w:p w14:paraId="386BC3B8" w14:textId="77777777" w:rsidR="005C5BCE" w:rsidRPr="00515724" w:rsidRDefault="005C5BCE" w:rsidP="005C5BCE">
      <w:pPr>
        <w:rPr>
          <w:highlight w:val="red"/>
        </w:rPr>
      </w:pPr>
      <w:r w:rsidRPr="00515724">
        <w:rPr>
          <w:noProof/>
          <w:highlight w:val="red"/>
        </w:rPr>
        <w:drawing>
          <wp:inline distT="0" distB="0" distL="0" distR="0" wp14:anchorId="2B5FD2C5" wp14:editId="16259879">
            <wp:extent cx="2916299" cy="2730500"/>
            <wp:effectExtent l="0" t="0" r="0" b="0"/>
            <wp:docPr id="25120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8795" name="Picture 251208795"/>
                    <pic:cNvPicPr/>
                  </pic:nvPicPr>
                  <pic:blipFill>
                    <a:blip r:embed="rId13">
                      <a:extLst>
                        <a:ext uri="{28A0092B-C50C-407E-A947-70E740481C1C}">
                          <a14:useLocalDpi xmlns:a14="http://schemas.microsoft.com/office/drawing/2010/main" val="0"/>
                        </a:ext>
                      </a:extLst>
                    </a:blip>
                    <a:stretch>
                      <a:fillRect/>
                    </a:stretch>
                  </pic:blipFill>
                  <pic:spPr>
                    <a:xfrm>
                      <a:off x="0" y="0"/>
                      <a:ext cx="2936042" cy="2748985"/>
                    </a:xfrm>
                    <a:prstGeom prst="rect">
                      <a:avLst/>
                    </a:prstGeom>
                  </pic:spPr>
                </pic:pic>
              </a:graphicData>
            </a:graphic>
          </wp:inline>
        </w:drawing>
      </w:r>
    </w:p>
    <w:p w14:paraId="19402C62" w14:textId="77777777" w:rsidR="005C5BCE" w:rsidRPr="00515724" w:rsidRDefault="005C5BCE" w:rsidP="005C5BCE">
      <w:pPr>
        <w:rPr>
          <w:highlight w:val="red"/>
        </w:rPr>
      </w:pPr>
      <w:r w:rsidRPr="00515724">
        <w:rPr>
          <w:szCs w:val="18"/>
          <w:highlight w:val="red"/>
        </w:rPr>
        <w:t xml:space="preserve">Figure 1 </w:t>
      </w:r>
      <w:r w:rsidRPr="00515724">
        <w:rPr>
          <w:highlight w:val="red"/>
          <w:lang w:val="en-US"/>
        </w:rPr>
        <w:t>Modified Roberston (2016) SBTn chart from a CPTu performed beneath the dam crest</w:t>
      </w:r>
    </w:p>
    <w:p w14:paraId="4DF36A77" w14:textId="77777777" w:rsidR="005C5BCE" w:rsidRPr="00515724" w:rsidRDefault="005C5BCE" w:rsidP="005C5BCE">
      <w:pPr>
        <w:rPr>
          <w:highlight w:val="red"/>
        </w:rPr>
      </w:pPr>
    </w:p>
    <w:p w14:paraId="0E484049" w14:textId="77777777" w:rsidR="005C5BCE" w:rsidRPr="00515724" w:rsidRDefault="005C5BCE" w:rsidP="005C5BCE">
      <w:pPr>
        <w:rPr>
          <w:highlight w:val="red"/>
        </w:rPr>
      </w:pPr>
    </w:p>
    <w:p w14:paraId="04D6D6F6" w14:textId="77777777" w:rsidR="005C5BCE" w:rsidRPr="00515724" w:rsidRDefault="005C5BCE" w:rsidP="005C5BCE">
      <w:pPr>
        <w:rPr>
          <w:highlight w:val="red"/>
        </w:rPr>
      </w:pPr>
      <w:r w:rsidRPr="00515724">
        <w:rPr>
          <w:noProof/>
          <w:highlight w:val="red"/>
        </w:rPr>
        <w:drawing>
          <wp:inline distT="0" distB="0" distL="0" distR="0" wp14:anchorId="3B5729AE" wp14:editId="19E6DC3E">
            <wp:extent cx="2950210" cy="3472815"/>
            <wp:effectExtent l="0" t="0" r="2540" b="0"/>
            <wp:docPr id="9" name="Picture 8">
              <a:extLst xmlns:a="http://schemas.openxmlformats.org/drawingml/2006/main">
                <a:ext uri="{FF2B5EF4-FFF2-40B4-BE49-F238E27FC236}">
                  <a16:creationId xmlns:a16="http://schemas.microsoft.com/office/drawing/2014/main" id="{DE08A036-F183-284D-0D2C-C0B27457E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E08A036-F183-284D-0D2C-C0B27457E7ED}"/>
                        </a:ext>
                      </a:extLst>
                    </pic:cNvPr>
                    <pic:cNvPicPr>
                      <a:picLocks noChangeAspect="1"/>
                    </pic:cNvPicPr>
                  </pic:nvPicPr>
                  <pic:blipFill>
                    <a:blip r:embed="rId14"/>
                    <a:stretch>
                      <a:fillRect/>
                    </a:stretch>
                  </pic:blipFill>
                  <pic:spPr>
                    <a:xfrm>
                      <a:off x="0" y="0"/>
                      <a:ext cx="2950210" cy="3472815"/>
                    </a:xfrm>
                    <a:prstGeom prst="rect">
                      <a:avLst/>
                    </a:prstGeom>
                  </pic:spPr>
                </pic:pic>
              </a:graphicData>
            </a:graphic>
          </wp:inline>
        </w:drawing>
      </w:r>
    </w:p>
    <w:p w14:paraId="410155D0" w14:textId="77777777" w:rsidR="005C5BCE" w:rsidRPr="00515724" w:rsidRDefault="005C5BCE" w:rsidP="005C5BCE">
      <w:pPr>
        <w:rPr>
          <w:highlight w:val="red"/>
          <w:lang w:val="en-US"/>
        </w:rPr>
      </w:pPr>
      <w:r w:rsidRPr="00515724">
        <w:rPr>
          <w:szCs w:val="18"/>
          <w:highlight w:val="red"/>
        </w:rPr>
        <w:t xml:space="preserve">Figure 2 </w:t>
      </w:r>
      <w:r w:rsidRPr="00515724">
        <w:rPr>
          <w:highlight w:val="red"/>
          <w:lang w:val="en-US"/>
        </w:rPr>
        <w:t>Modified Robertson (2016) SBTn and clean sand equivalent profile for a CPTu performed benath the dam crest</w:t>
      </w:r>
    </w:p>
    <w:p w14:paraId="6B45DA1C" w14:textId="77777777" w:rsidR="005C5BCE" w:rsidRPr="00515724" w:rsidRDefault="005C5BCE" w:rsidP="005C5BCE">
      <w:pPr>
        <w:rPr>
          <w:highlight w:val="red"/>
          <w:lang w:val="en-US"/>
        </w:rPr>
      </w:pPr>
    </w:p>
    <w:p w14:paraId="49EDA77E" w14:textId="12C6C889" w:rsidR="00246142" w:rsidRPr="00515724" w:rsidRDefault="005C5BCE" w:rsidP="005C5BCE">
      <w:pPr>
        <w:rPr>
          <w:highlight w:val="red"/>
        </w:rPr>
      </w:pPr>
      <w:r w:rsidRPr="00515724">
        <w:rPr>
          <w:highlight w:val="red"/>
        </w:rPr>
        <w:t>Given that the objective of this study was to evaluate the long</w:t>
      </w:r>
      <w:r w:rsidRPr="00515724">
        <w:rPr>
          <w:highlight w:val="red"/>
        </w:rPr>
        <w:noBreakHyphen/>
        <w:t xml:space="preserve">term </w:t>
      </w:r>
      <w:r w:rsidR="00AE38EE" w:rsidRPr="00515724">
        <w:rPr>
          <w:highlight w:val="red"/>
        </w:rPr>
        <w:t>performance</w:t>
      </w:r>
      <w:r w:rsidRPr="00515724">
        <w:rPr>
          <w:highlight w:val="red"/>
        </w:rPr>
        <w:t xml:space="preserve"> of the TSF and inform the selection </w:t>
      </w:r>
      <w:r w:rsidRPr="00515724">
        <w:rPr>
          <w:highlight w:val="red"/>
        </w:rPr>
        <w:lastRenderedPageBreak/>
        <w:t>and refinement of a reclamation concept compliant with MERN (2024) requirements, a screening</w:t>
      </w:r>
      <w:r w:rsidRPr="00515724">
        <w:rPr>
          <w:highlight w:val="red"/>
        </w:rPr>
        <w:noBreakHyphen/>
        <w:t>level liquefaction assessment was first undertaken. The purpose of this step was to confirm whether pseudo</w:t>
      </w:r>
      <w:r w:rsidRPr="00515724">
        <w:rPr>
          <w:highlight w:val="red"/>
        </w:rPr>
        <w:noBreakHyphen/>
        <w:t>static slope stability analyses would be appropriate for the site conditions</w:t>
      </w:r>
      <w:r w:rsidR="001265C1" w:rsidRPr="00515724">
        <w:rPr>
          <w:highlight w:val="red"/>
        </w:rPr>
        <w:t xml:space="preserve"> as </w:t>
      </w:r>
      <w:r w:rsidR="00D60D0C" w:rsidRPr="00515724">
        <w:rPr>
          <w:highlight w:val="red"/>
        </w:rPr>
        <w:t xml:space="preserve">discussed by </w:t>
      </w:r>
      <w:r w:rsidR="00246142" w:rsidRPr="00515724">
        <w:rPr>
          <w:highlight w:val="red"/>
        </w:rPr>
        <w:t>Makdisi and Seed (1977)</w:t>
      </w:r>
      <w:r w:rsidR="00D60D0C" w:rsidRPr="00515724">
        <w:rPr>
          <w:highlight w:val="red"/>
        </w:rPr>
        <w:t xml:space="preserve">. </w:t>
      </w:r>
    </w:p>
    <w:p w14:paraId="71CD644C" w14:textId="2400DE48" w:rsidR="005C5BCE" w:rsidRPr="00515724" w:rsidRDefault="005C5BCE" w:rsidP="005C5BCE">
      <w:pPr>
        <w:rPr>
          <w:highlight w:val="red"/>
        </w:rPr>
      </w:pPr>
      <w:r w:rsidRPr="00515724">
        <w:rPr>
          <w:highlight w:val="red"/>
        </w:rPr>
        <w:t>The</w:t>
      </w:r>
      <w:r w:rsidR="00D60D0C" w:rsidRPr="00515724">
        <w:rPr>
          <w:highlight w:val="red"/>
        </w:rPr>
        <w:t xml:space="preserve"> liquefaction </w:t>
      </w:r>
      <w:r w:rsidRPr="00515724">
        <w:rPr>
          <w:highlight w:val="red"/>
        </w:rPr>
        <w:t xml:space="preserve">screening </w:t>
      </w:r>
      <w:r w:rsidR="00D60D0C" w:rsidRPr="00515724">
        <w:rPr>
          <w:highlight w:val="red"/>
        </w:rPr>
        <w:t>assessment</w:t>
      </w:r>
      <w:r w:rsidRPr="00515724">
        <w:rPr>
          <w:highlight w:val="red"/>
        </w:rPr>
        <w:t xml:space="preserve"> was conducted following the methodology of Youd et al. (2001), based on comparison of cyclic resistance ratio (CRR) and cyclic stress ratio (CSR). As shown in Figure 4, the results indicate that the foundation soils are predominantly non</w:t>
      </w:r>
      <w:r w:rsidRPr="00515724">
        <w:rPr>
          <w:highlight w:val="red"/>
        </w:rPr>
        <w:noBreakHyphen/>
        <w:t>liquefiable, thereby supporting the use of pseudo</w:t>
      </w:r>
      <w:r w:rsidRPr="00515724">
        <w:rPr>
          <w:highlight w:val="red"/>
        </w:rPr>
        <w:noBreakHyphen/>
        <w:t xml:space="preserve">static </w:t>
      </w:r>
      <w:r w:rsidR="001B5564" w:rsidRPr="00515724">
        <w:rPr>
          <w:highlight w:val="red"/>
        </w:rPr>
        <w:t>FOS</w:t>
      </w:r>
      <w:r w:rsidRPr="00515724">
        <w:rPr>
          <w:highlight w:val="red"/>
        </w:rPr>
        <w:t xml:space="preserve"> as a reliable basis for assessing the seismic stability</w:t>
      </w:r>
      <w:r w:rsidR="001B5564" w:rsidRPr="00515724">
        <w:rPr>
          <w:highlight w:val="red"/>
        </w:rPr>
        <w:t xml:space="preserve"> or performance</w:t>
      </w:r>
      <w:r w:rsidRPr="00515724">
        <w:rPr>
          <w:highlight w:val="red"/>
        </w:rPr>
        <w:t xml:space="preserve"> of the embankments.</w:t>
      </w:r>
    </w:p>
    <w:p w14:paraId="6F8DA8D3" w14:textId="77777777" w:rsidR="005C5BCE" w:rsidRPr="00515724" w:rsidRDefault="005C5BCE" w:rsidP="005C5BCE">
      <w:pPr>
        <w:rPr>
          <w:highlight w:val="red"/>
        </w:rPr>
      </w:pPr>
    </w:p>
    <w:p w14:paraId="2892922D" w14:textId="77777777" w:rsidR="005C5BCE" w:rsidRPr="00515724" w:rsidRDefault="005C5BCE" w:rsidP="005C5BCE">
      <w:pPr>
        <w:rPr>
          <w:highlight w:val="red"/>
          <w:lang w:val="en-US"/>
        </w:rPr>
      </w:pPr>
      <w:r w:rsidRPr="00515724">
        <w:rPr>
          <w:noProof/>
          <w:highlight w:val="red"/>
          <w:lang w:val="en-US"/>
        </w:rPr>
        <w:drawing>
          <wp:inline distT="0" distB="0" distL="0" distR="0" wp14:anchorId="489BFCCE" wp14:editId="233E5337">
            <wp:extent cx="2950210" cy="2798445"/>
            <wp:effectExtent l="0" t="0" r="2540" b="1905"/>
            <wp:docPr id="93019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92105" name=""/>
                    <pic:cNvPicPr/>
                  </pic:nvPicPr>
                  <pic:blipFill>
                    <a:blip r:embed="rId15"/>
                    <a:stretch>
                      <a:fillRect/>
                    </a:stretch>
                  </pic:blipFill>
                  <pic:spPr>
                    <a:xfrm>
                      <a:off x="0" y="0"/>
                      <a:ext cx="2950210" cy="2798445"/>
                    </a:xfrm>
                    <a:prstGeom prst="rect">
                      <a:avLst/>
                    </a:prstGeom>
                  </pic:spPr>
                </pic:pic>
              </a:graphicData>
            </a:graphic>
          </wp:inline>
        </w:drawing>
      </w:r>
    </w:p>
    <w:p w14:paraId="19FE9500" w14:textId="77777777" w:rsidR="005C5BCE" w:rsidRPr="00515724" w:rsidRDefault="005C5BCE" w:rsidP="005C5BCE">
      <w:pPr>
        <w:rPr>
          <w:highlight w:val="red"/>
          <w:lang w:val="en-US"/>
        </w:rPr>
      </w:pPr>
      <w:r w:rsidRPr="00515724">
        <w:rPr>
          <w:szCs w:val="18"/>
          <w:highlight w:val="red"/>
        </w:rPr>
        <w:t xml:space="preserve">Figure 3 </w:t>
      </w:r>
      <w:r w:rsidRPr="00515724">
        <w:rPr>
          <w:highlight w:val="red"/>
          <w:lang w:val="en-US"/>
        </w:rPr>
        <w:t xml:space="preserve">Undrained triaxial test performed on the fluvioglacial material </w:t>
      </w:r>
    </w:p>
    <w:p w14:paraId="56A6F3DF" w14:textId="77777777" w:rsidR="005C5BCE" w:rsidRPr="00515724" w:rsidRDefault="005C5BCE" w:rsidP="005C5BCE">
      <w:pPr>
        <w:rPr>
          <w:highlight w:val="red"/>
          <w:lang w:val="en-US"/>
        </w:rPr>
      </w:pPr>
    </w:p>
    <w:p w14:paraId="5DE687CE" w14:textId="77777777" w:rsidR="005C5BCE" w:rsidRPr="00515724" w:rsidRDefault="005C5BCE" w:rsidP="005C5BCE">
      <w:pPr>
        <w:rPr>
          <w:highlight w:val="red"/>
        </w:rPr>
      </w:pPr>
      <w:r w:rsidRPr="00515724">
        <w:rPr>
          <w:noProof/>
          <w:highlight w:val="red"/>
        </w:rPr>
        <w:drawing>
          <wp:inline distT="0" distB="0" distL="0" distR="0" wp14:anchorId="290B196F" wp14:editId="29DB707F">
            <wp:extent cx="1853066" cy="2457450"/>
            <wp:effectExtent l="0" t="0" r="0" b="0"/>
            <wp:docPr id="2550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1778" name=""/>
                    <pic:cNvPicPr/>
                  </pic:nvPicPr>
                  <pic:blipFill>
                    <a:blip r:embed="rId16"/>
                    <a:stretch>
                      <a:fillRect/>
                    </a:stretch>
                  </pic:blipFill>
                  <pic:spPr>
                    <a:xfrm>
                      <a:off x="0" y="0"/>
                      <a:ext cx="1858190" cy="2464246"/>
                    </a:xfrm>
                    <a:prstGeom prst="rect">
                      <a:avLst/>
                    </a:prstGeom>
                  </pic:spPr>
                </pic:pic>
              </a:graphicData>
            </a:graphic>
          </wp:inline>
        </w:drawing>
      </w:r>
    </w:p>
    <w:p w14:paraId="6FF4C2D9" w14:textId="77777777" w:rsidR="005C5BCE" w:rsidRPr="00515724" w:rsidRDefault="005C5BCE" w:rsidP="005C5BCE">
      <w:pPr>
        <w:rPr>
          <w:highlight w:val="red"/>
          <w:lang w:val="en-US"/>
        </w:rPr>
      </w:pPr>
      <w:r w:rsidRPr="00515724">
        <w:rPr>
          <w:szCs w:val="18"/>
          <w:highlight w:val="red"/>
        </w:rPr>
        <w:t xml:space="preserve">Figure 4 Example of a </w:t>
      </w:r>
      <w:r w:rsidRPr="00515724">
        <w:rPr>
          <w:highlight w:val="red"/>
          <w:lang w:val="en-US"/>
        </w:rPr>
        <w:t>CRR vs CSR profile for an earthquake with a magnitude of 7.00</w:t>
      </w:r>
    </w:p>
    <w:p w14:paraId="6545AE75" w14:textId="77777777" w:rsidR="007804AC" w:rsidRPr="00515724" w:rsidRDefault="007804AC" w:rsidP="005C5BCE">
      <w:pPr>
        <w:rPr>
          <w:highlight w:val="red"/>
          <w:lang w:val="en-US"/>
        </w:rPr>
      </w:pPr>
    </w:p>
    <w:p w14:paraId="63F1D0EF" w14:textId="77777777" w:rsidR="007804AC" w:rsidRPr="00515724" w:rsidRDefault="007804AC" w:rsidP="005C5BCE">
      <w:pPr>
        <w:rPr>
          <w:highlight w:val="red"/>
        </w:rPr>
      </w:pPr>
    </w:p>
    <w:p w14:paraId="1BE3F6F2" w14:textId="77777777" w:rsidR="005C5BCE" w:rsidRPr="00515724" w:rsidRDefault="005C5BCE" w:rsidP="005C5BCE">
      <w:pPr>
        <w:rPr>
          <w:highlight w:val="red"/>
          <w:lang w:val="en-US"/>
        </w:rPr>
      </w:pPr>
    </w:p>
    <w:p w14:paraId="13855BFD" w14:textId="77777777" w:rsidR="005C5BCE" w:rsidRPr="00515724" w:rsidRDefault="005C5BCE" w:rsidP="005C5BCE">
      <w:pPr>
        <w:rPr>
          <w:highlight w:val="red"/>
          <w:lang w:val="en-US"/>
        </w:rPr>
      </w:pPr>
      <w:r w:rsidRPr="00515724">
        <w:rPr>
          <w:noProof/>
          <w:highlight w:val="red"/>
        </w:rPr>
        <w:drawing>
          <wp:inline distT="0" distB="0" distL="0" distR="0" wp14:anchorId="62778250" wp14:editId="1DCF3086">
            <wp:extent cx="2950210" cy="3601720"/>
            <wp:effectExtent l="0" t="0" r="2540" b="0"/>
            <wp:docPr id="100310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6263" name=""/>
                    <pic:cNvPicPr/>
                  </pic:nvPicPr>
                  <pic:blipFill>
                    <a:blip r:embed="rId17"/>
                    <a:stretch>
                      <a:fillRect/>
                    </a:stretch>
                  </pic:blipFill>
                  <pic:spPr>
                    <a:xfrm>
                      <a:off x="0" y="0"/>
                      <a:ext cx="2950210" cy="3601720"/>
                    </a:xfrm>
                    <a:prstGeom prst="rect">
                      <a:avLst/>
                    </a:prstGeom>
                  </pic:spPr>
                </pic:pic>
              </a:graphicData>
            </a:graphic>
          </wp:inline>
        </w:drawing>
      </w:r>
      <w:r w:rsidRPr="00515724">
        <w:rPr>
          <w:noProof/>
          <w:highlight w:val="red"/>
        </w:rPr>
        <w:t xml:space="preserve"> </w:t>
      </w:r>
    </w:p>
    <w:p w14:paraId="7E26A39E" w14:textId="77777777" w:rsidR="005C5BCE" w:rsidRPr="00515724" w:rsidRDefault="005C5BCE" w:rsidP="005C5BCE">
      <w:pPr>
        <w:rPr>
          <w:highlight w:val="red"/>
          <w:lang w:val="en-US"/>
        </w:rPr>
      </w:pPr>
      <w:r w:rsidRPr="00515724">
        <w:rPr>
          <w:szCs w:val="18"/>
          <w:highlight w:val="red"/>
          <w:lang w:val="en-US"/>
        </w:rPr>
        <w:t xml:space="preserve">Figure 5 </w:t>
      </w:r>
      <w:r w:rsidRPr="00515724">
        <w:rPr>
          <w:highlight w:val="red"/>
          <w:lang w:val="en-US"/>
        </w:rPr>
        <w:t>Measured Vs profiles across the site</w:t>
      </w:r>
    </w:p>
    <w:p w14:paraId="6065E2C6" w14:textId="77777777" w:rsidR="00380A3D" w:rsidRPr="00515724" w:rsidRDefault="00380A3D" w:rsidP="004E7A95">
      <w:pPr>
        <w:pStyle w:val="BodyText"/>
        <w:rPr>
          <w:highlight w:val="red"/>
          <w:lang w:val="en-US"/>
        </w:rPr>
      </w:pPr>
    </w:p>
    <w:p w14:paraId="59E4BCB2" w14:textId="718FE6B8" w:rsidR="007B0CD6" w:rsidRPr="00515724" w:rsidRDefault="007B0CD6" w:rsidP="00231AEC">
      <w:pPr>
        <w:rPr>
          <w:highlight w:val="red"/>
          <w:lang w:val="en-US"/>
        </w:rPr>
      </w:pPr>
    </w:p>
    <w:p w14:paraId="430BA45B" w14:textId="77777777" w:rsidR="003A7182" w:rsidRPr="00515724" w:rsidRDefault="003A7182" w:rsidP="003A7182">
      <w:pPr>
        <w:rPr>
          <w:highlight w:val="red"/>
        </w:rPr>
      </w:pPr>
    </w:p>
    <w:p w14:paraId="7829AE62" w14:textId="524E3325" w:rsidR="00615D9A" w:rsidRPr="00515724" w:rsidRDefault="002E254F" w:rsidP="001B5564">
      <w:pPr>
        <w:pStyle w:val="Heading1"/>
        <w:numPr>
          <w:ilvl w:val="1"/>
          <w:numId w:val="19"/>
        </w:numPr>
        <w:rPr>
          <w:highlight w:val="red"/>
        </w:rPr>
      </w:pPr>
      <w:r w:rsidRPr="00515724">
        <w:rPr>
          <w:highlight w:val="red"/>
        </w:rPr>
        <w:t xml:space="preserve">SITE Specific </w:t>
      </w:r>
      <w:r w:rsidR="009F37FB" w:rsidRPr="00515724">
        <w:rPr>
          <w:highlight w:val="red"/>
        </w:rPr>
        <w:t>pseudo-static coefficient determination</w:t>
      </w:r>
      <w:r w:rsidR="00FB1D8E" w:rsidRPr="00515724">
        <w:rPr>
          <w:highlight w:val="red"/>
        </w:rPr>
        <w:t xml:space="preserve"> </w:t>
      </w:r>
    </w:p>
    <w:p w14:paraId="3DCDCA95" w14:textId="77777777" w:rsidR="00615D9A" w:rsidRPr="00515724" w:rsidRDefault="00615D9A" w:rsidP="00615D9A">
      <w:pPr>
        <w:rPr>
          <w:highlight w:val="red"/>
        </w:rPr>
      </w:pPr>
    </w:p>
    <w:p w14:paraId="169CDA16" w14:textId="6F33CF48" w:rsidR="004359E5" w:rsidRPr="00515724" w:rsidRDefault="009C76AD" w:rsidP="00C51A85">
      <w:pPr>
        <w:rPr>
          <w:highlight w:val="red"/>
          <w:lang w:val="en-US"/>
        </w:rPr>
      </w:pPr>
      <w:r w:rsidRPr="00515724">
        <w:rPr>
          <w:highlight w:val="red"/>
          <w:lang w:val="en-US"/>
        </w:rPr>
        <w:t>XX</w:t>
      </w:r>
    </w:p>
    <w:p w14:paraId="07D56CBF" w14:textId="77777777" w:rsidR="004359E5" w:rsidRPr="00515724" w:rsidRDefault="004359E5" w:rsidP="005A525D">
      <w:pPr>
        <w:rPr>
          <w:highlight w:val="red"/>
          <w:lang w:val="en-US"/>
        </w:rPr>
      </w:pPr>
    </w:p>
    <w:p w14:paraId="3A0D8C1C" w14:textId="77777777" w:rsidR="007D749B" w:rsidRPr="00515724" w:rsidRDefault="007D749B" w:rsidP="005A525D">
      <w:pPr>
        <w:rPr>
          <w:highlight w:val="red"/>
          <w:lang w:val="en-US"/>
        </w:rPr>
      </w:pPr>
    </w:p>
    <w:p w14:paraId="7DD2519E" w14:textId="6BC64B09" w:rsidR="007D749B" w:rsidRPr="00916764" w:rsidRDefault="007D749B" w:rsidP="005A525D">
      <w:pPr>
        <w:rPr>
          <w:lang w:val="en-US"/>
        </w:rPr>
      </w:pPr>
      <w:r w:rsidRPr="00515724">
        <w:rPr>
          <w:highlight w:val="red"/>
          <w:lang w:val="en-US"/>
        </w:rPr>
        <w:t>Slope stability outcome should be added by me later this week.</w:t>
      </w:r>
      <w:r>
        <w:rPr>
          <w:lang w:val="en-US"/>
        </w:rPr>
        <w:t xml:space="preserve"> </w:t>
      </w:r>
    </w:p>
    <w:p w14:paraId="55E09075" w14:textId="77777777" w:rsidR="00DF5269" w:rsidRDefault="00DF5269" w:rsidP="00DF5269">
      <w:pPr>
        <w:rPr>
          <w:szCs w:val="18"/>
        </w:rPr>
      </w:pPr>
    </w:p>
    <w:p w14:paraId="6F9AC629" w14:textId="4A2AC0BD" w:rsidR="00574E9B" w:rsidRDefault="00574E9B" w:rsidP="0074649A">
      <w:pPr>
        <w:pStyle w:val="Heading1"/>
        <w:numPr>
          <w:ilvl w:val="0"/>
          <w:numId w:val="19"/>
        </w:numPr>
      </w:pPr>
      <w:r>
        <w:t xml:space="preserve">Closing remarks </w:t>
      </w:r>
    </w:p>
    <w:p w14:paraId="53BE7A6C" w14:textId="77777777" w:rsidR="001C1CFF" w:rsidRDefault="001C1CFF" w:rsidP="00CE49C7">
      <w:pPr>
        <w:rPr>
          <w:szCs w:val="18"/>
        </w:rPr>
      </w:pPr>
    </w:p>
    <w:p w14:paraId="4A7A4510" w14:textId="2EC75FBA" w:rsidR="001C1CFF" w:rsidRPr="001C1CFF" w:rsidRDefault="00331DC0" w:rsidP="001C1CFF">
      <w:pPr>
        <w:rPr>
          <w:szCs w:val="18"/>
        </w:rPr>
      </w:pPr>
      <w:r w:rsidRPr="00CE49C7">
        <w:rPr>
          <w:szCs w:val="18"/>
        </w:rPr>
        <w:t>Acknowledging</w:t>
      </w:r>
      <w:r>
        <w:rPr>
          <w:szCs w:val="18"/>
        </w:rPr>
        <w:t xml:space="preserve"> that</w:t>
      </w:r>
      <w:r w:rsidR="001C1CFF" w:rsidRPr="001C1CFF">
        <w:rPr>
          <w:szCs w:val="18"/>
        </w:rPr>
        <w:t xml:space="preserve"> the key seismic load parameters for a project typically change little once the controlling sources and design levels have been established, they should be defined as early as practicable in the engineering process. In parallel, clear, quantitative performance objectives (e.g., tolerable permanent displacements, no loss of containment) should also be set at the o</w:t>
      </w:r>
      <w:r w:rsidR="00C52797">
        <w:rPr>
          <w:szCs w:val="18"/>
        </w:rPr>
        <w:t xml:space="preserve">utset of any studies, assessment or trade-offs while </w:t>
      </w:r>
      <w:r w:rsidR="000154BD">
        <w:rPr>
          <w:szCs w:val="18"/>
        </w:rPr>
        <w:t>looking to design for closure purpose</w:t>
      </w:r>
      <w:r w:rsidR="001C1CFF" w:rsidRPr="001C1CFF">
        <w:rPr>
          <w:szCs w:val="18"/>
        </w:rPr>
        <w:t>. Having both the seismic demand and the performance objectives defined from the start greatly facilitates the implementation of a performance</w:t>
      </w:r>
      <w:r w:rsidR="001C1CFF" w:rsidRPr="001C1CFF">
        <w:rPr>
          <w:rFonts w:ascii="Cambria Math" w:hAnsi="Cambria Math" w:cs="Cambria Math"/>
          <w:szCs w:val="18"/>
        </w:rPr>
        <w:t>‑</w:t>
      </w:r>
      <w:r w:rsidR="001C1CFF" w:rsidRPr="001C1CFF">
        <w:rPr>
          <w:szCs w:val="18"/>
        </w:rPr>
        <w:t xml:space="preserve">based approach for assessing </w:t>
      </w:r>
      <w:r w:rsidR="000154BD">
        <w:rPr>
          <w:szCs w:val="18"/>
        </w:rPr>
        <w:t xml:space="preserve">TSF </w:t>
      </w:r>
      <w:r w:rsidR="001C1CFF" w:rsidRPr="001C1CFF">
        <w:rPr>
          <w:szCs w:val="18"/>
        </w:rPr>
        <w:t xml:space="preserve">embankment </w:t>
      </w:r>
      <w:r w:rsidR="000154BD">
        <w:rPr>
          <w:szCs w:val="18"/>
        </w:rPr>
        <w:t xml:space="preserve">long-term </w:t>
      </w:r>
      <w:r w:rsidR="001C1CFF" w:rsidRPr="001C1CFF">
        <w:rPr>
          <w:szCs w:val="18"/>
        </w:rPr>
        <w:t>stability.</w:t>
      </w:r>
    </w:p>
    <w:p w14:paraId="6B4E9B9B" w14:textId="57CF740F" w:rsidR="001C1CFF" w:rsidRPr="001C1CFF" w:rsidRDefault="001C1CFF" w:rsidP="001C1CFF">
      <w:pPr>
        <w:rPr>
          <w:szCs w:val="18"/>
        </w:rPr>
      </w:pPr>
      <w:r w:rsidRPr="001C1CFF">
        <w:rPr>
          <w:szCs w:val="18"/>
        </w:rPr>
        <w:t>The methodology applied in this study provides a rational framework in which the seismic performance of the TSF embankments is evaluated in terms of earthquake</w:t>
      </w:r>
      <w:r w:rsidRPr="001C1CFF">
        <w:rPr>
          <w:rFonts w:ascii="Cambria Math" w:hAnsi="Cambria Math" w:cs="Cambria Math"/>
          <w:szCs w:val="18"/>
        </w:rPr>
        <w:t>‑</w:t>
      </w:r>
      <w:r w:rsidRPr="001C1CFF">
        <w:rPr>
          <w:szCs w:val="18"/>
        </w:rPr>
        <w:t xml:space="preserve">induced permanent displacements, rather than solely through prescriptive </w:t>
      </w:r>
      <w:r w:rsidR="000331DB">
        <w:rPr>
          <w:szCs w:val="18"/>
        </w:rPr>
        <w:t>FoS</w:t>
      </w:r>
      <w:r w:rsidRPr="001C1CFF">
        <w:rPr>
          <w:szCs w:val="18"/>
        </w:rPr>
        <w:t xml:space="preserve">. By linking a horizontal seismic coefficient directly to an allowable displacement threshold, the </w:t>
      </w:r>
      <w:r w:rsidRPr="001C1CFF">
        <w:rPr>
          <w:szCs w:val="18"/>
        </w:rPr>
        <w:lastRenderedPageBreak/>
        <w:t xml:space="preserve">approach demonstrates that </w:t>
      </w:r>
      <w:r w:rsidR="000331DB">
        <w:rPr>
          <w:szCs w:val="18"/>
        </w:rPr>
        <w:t xml:space="preserve">limited expenditure should be required </w:t>
      </w:r>
      <w:r w:rsidR="002C6BE9">
        <w:rPr>
          <w:szCs w:val="18"/>
        </w:rPr>
        <w:t xml:space="preserve">for the embankment to comply with the applicable regulations and </w:t>
      </w:r>
      <w:r w:rsidRPr="001C1CFF">
        <w:rPr>
          <w:szCs w:val="18"/>
        </w:rPr>
        <w:t>meet project</w:t>
      </w:r>
      <w:r w:rsidRPr="001C1CFF">
        <w:rPr>
          <w:rFonts w:ascii="Cambria Math" w:hAnsi="Cambria Math" w:cs="Cambria Math"/>
          <w:szCs w:val="18"/>
        </w:rPr>
        <w:t>‑</w:t>
      </w:r>
      <w:r w:rsidRPr="001C1CFF">
        <w:rPr>
          <w:szCs w:val="18"/>
        </w:rPr>
        <w:t>specific performance criteria under the required design and safety</w:t>
      </w:r>
      <w:r w:rsidRPr="001C1CFF">
        <w:rPr>
          <w:rFonts w:ascii="Cambria Math" w:hAnsi="Cambria Math" w:cs="Cambria Math"/>
          <w:szCs w:val="18"/>
        </w:rPr>
        <w:t>‑</w:t>
      </w:r>
      <w:r w:rsidRPr="001C1CFF">
        <w:rPr>
          <w:szCs w:val="18"/>
        </w:rPr>
        <w:t>evaluation earthquakes. In this case, the performance</w:t>
      </w:r>
      <w:r w:rsidRPr="001C1CFF">
        <w:rPr>
          <w:rFonts w:ascii="Cambria Math" w:hAnsi="Cambria Math" w:cs="Cambria Math"/>
          <w:szCs w:val="18"/>
        </w:rPr>
        <w:t>‑</w:t>
      </w:r>
      <w:r w:rsidRPr="001C1CFF">
        <w:rPr>
          <w:szCs w:val="18"/>
        </w:rPr>
        <w:t>based assessment showed that the selected reclamation concept is technically robust</w:t>
      </w:r>
      <w:r w:rsidR="006A7D23">
        <w:rPr>
          <w:szCs w:val="18"/>
        </w:rPr>
        <w:t xml:space="preserve">. </w:t>
      </w:r>
    </w:p>
    <w:p w14:paraId="460398A6" w14:textId="0C0A71FE" w:rsidR="001C1CFF" w:rsidRPr="001C1CFF" w:rsidRDefault="001C1CFF" w:rsidP="001C1CFF">
      <w:pPr>
        <w:rPr>
          <w:szCs w:val="18"/>
        </w:rPr>
      </w:pPr>
      <w:r w:rsidRPr="001C1CFF">
        <w:rPr>
          <w:szCs w:val="18"/>
        </w:rPr>
        <w:t>More broadly, introducing performance</w:t>
      </w:r>
      <w:r w:rsidRPr="001C1CFF">
        <w:rPr>
          <w:rFonts w:ascii="Cambria Math" w:hAnsi="Cambria Math" w:cs="Cambria Math"/>
          <w:szCs w:val="18"/>
        </w:rPr>
        <w:t>‑</w:t>
      </w:r>
      <w:r w:rsidRPr="001C1CFF">
        <w:rPr>
          <w:szCs w:val="18"/>
        </w:rPr>
        <w:t>based principles early in a project allows the seismic load definition to be established, while the characterization of material resistance is progressively refined through additional site investigation and testing. As the statistical description of resistance improves, the framework can naturally evolve toward a reliability</w:t>
      </w:r>
      <w:r w:rsidRPr="001C1CFF">
        <w:rPr>
          <w:rFonts w:ascii="Cambria Math" w:hAnsi="Cambria Math" w:cs="Cambria Math"/>
          <w:szCs w:val="18"/>
        </w:rPr>
        <w:t>‑</w:t>
      </w:r>
      <w:r w:rsidRPr="001C1CFF">
        <w:rPr>
          <w:szCs w:val="18"/>
        </w:rPr>
        <w:t>based design, in which probabilities of exceeding specified performance limits are quantified explicitly, moving beyond purely deterministic checks and enabling more transparent, risk</w:t>
      </w:r>
      <w:r w:rsidRPr="001C1CFF">
        <w:rPr>
          <w:rFonts w:ascii="Cambria Math" w:hAnsi="Cambria Math" w:cs="Cambria Math"/>
          <w:szCs w:val="18"/>
        </w:rPr>
        <w:t>‑</w:t>
      </w:r>
      <w:r w:rsidRPr="001C1CFF">
        <w:rPr>
          <w:szCs w:val="18"/>
        </w:rPr>
        <w:t>informed decisions for long</w:t>
      </w:r>
      <w:r w:rsidRPr="001C1CFF">
        <w:rPr>
          <w:rFonts w:ascii="Cambria Math" w:hAnsi="Cambria Math" w:cs="Cambria Math"/>
          <w:szCs w:val="18"/>
        </w:rPr>
        <w:t>‑</w:t>
      </w:r>
      <w:r w:rsidRPr="001C1CFF">
        <w:rPr>
          <w:szCs w:val="18"/>
        </w:rPr>
        <w:t>term TSF stability.</w:t>
      </w:r>
    </w:p>
    <w:p w14:paraId="5FCA1F77" w14:textId="77777777" w:rsidR="00840C37" w:rsidRDefault="00840C37" w:rsidP="00DF5269">
      <w:pPr>
        <w:rPr>
          <w:szCs w:val="18"/>
        </w:rPr>
      </w:pPr>
    </w:p>
    <w:p w14:paraId="49B36F1F" w14:textId="77777777" w:rsidR="00840C37" w:rsidRPr="003325DE" w:rsidRDefault="00840C37" w:rsidP="0074649A">
      <w:pPr>
        <w:pStyle w:val="Heading1"/>
        <w:numPr>
          <w:ilvl w:val="0"/>
          <w:numId w:val="19"/>
        </w:numPr>
      </w:pPr>
      <w:bookmarkStart w:id="4" w:name="_Toc221298708"/>
      <w:r w:rsidRPr="003325DE">
        <w:t>References</w:t>
      </w:r>
      <w:bookmarkEnd w:id="4"/>
    </w:p>
    <w:p w14:paraId="14317DCA" w14:textId="77777777" w:rsidR="00840C37" w:rsidRDefault="00840C37" w:rsidP="00DF5269">
      <w:pPr>
        <w:rPr>
          <w:szCs w:val="18"/>
        </w:rPr>
      </w:pPr>
    </w:p>
    <w:p w14:paraId="1DF260C0" w14:textId="77777777" w:rsidR="000A2EAD" w:rsidRDefault="000A2EAD"/>
    <w:p w14:paraId="3A75D884" w14:textId="5251166B" w:rsidR="000A2EAD" w:rsidRPr="00B96EE6" w:rsidRDefault="00173357" w:rsidP="00B96EE6">
      <w:pPr>
        <w:pStyle w:val="Paragraph-regular"/>
      </w:pPr>
      <w:r>
        <w:t xml:space="preserve"> </w:t>
      </w:r>
    </w:p>
    <w:sectPr w:rsidR="000A2EAD" w:rsidRPr="00B96EE6" w:rsidSect="009862B7">
      <w:headerReference w:type="even" r:id="rId18"/>
      <w:headerReference w:type="default" r:id="rId19"/>
      <w:type w:val="continuous"/>
      <w:pgSz w:w="12240" w:h="15840" w:code="1"/>
      <w:pgMar w:top="1418" w:right="1134" w:bottom="1418" w:left="1134" w:header="0" w:footer="0" w:gutter="340"/>
      <w:cols w:num="2" w:space="3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an-Francois St-Laurent" w:date="2026-03-31T21:26:00Z" w:initials="JS">
    <w:p w14:paraId="7506A459" w14:textId="77777777" w:rsidR="000A4AFC" w:rsidRDefault="000A4AFC" w:rsidP="000A4AFC">
      <w:pPr>
        <w:pStyle w:val="CommentText"/>
        <w:jc w:val="left"/>
      </w:pPr>
      <w:r>
        <w:rPr>
          <w:rStyle w:val="CommentReference"/>
        </w:rPr>
        <w:annotationRef/>
      </w:r>
      <w:r>
        <w:t>Ky or Kh?</w:t>
      </w:r>
    </w:p>
  </w:comment>
  <w:comment w:id="2" w:author="Jean-Francois St-Laurent" w:date="2026-04-03T13:42:00Z" w:initials="JS">
    <w:p w14:paraId="099DD3BD" w14:textId="77777777" w:rsidR="000468A0" w:rsidRDefault="000468A0" w:rsidP="000468A0">
      <w:pPr>
        <w:pStyle w:val="CommentText"/>
        <w:jc w:val="left"/>
      </w:pPr>
      <w:r>
        <w:rPr>
          <w:rStyle w:val="CommentReference"/>
        </w:rPr>
        <w:annotationRef/>
      </w:r>
      <w:r>
        <w:t>Louvicourt assessment - result</w:t>
      </w:r>
    </w:p>
  </w:comment>
  <w:comment w:id="3" w:author="Jean-Francois St-Laurent" w:date="2026-04-03T13:43:00Z" w:initials="JS">
    <w:p w14:paraId="68996D11" w14:textId="77777777" w:rsidR="00515724" w:rsidRDefault="00515724" w:rsidP="00515724">
      <w:pPr>
        <w:pStyle w:val="CommentText"/>
        <w:jc w:val="left"/>
      </w:pPr>
      <w:r>
        <w:rPr>
          <w:rStyle w:val="CommentReference"/>
        </w:rPr>
        <w:annotationRef/>
      </w:r>
      <w:r>
        <w:t>I&lt;ll update this section and the rsults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06A459" w15:done="0"/>
  <w15:commentEx w15:paraId="099DD3BD" w15:done="0"/>
  <w15:commentEx w15:paraId="68996D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82742F" w16cex:dateUtc="2026-04-01T01:26:00Z"/>
  <w16cex:commentExtensible w16cex:durableId="6D0B12E6" w16cex:dateUtc="2026-04-03T17:42:00Z"/>
  <w16cex:commentExtensible w16cex:durableId="7BBD1254" w16cex:dateUtc="2026-04-03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06A459" w16cid:durableId="2382742F"/>
  <w16cid:commentId w16cid:paraId="099DD3BD" w16cid:durableId="6D0B12E6"/>
  <w16cid:commentId w16cid:paraId="68996D11" w16cid:durableId="7BBD12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EE47" w14:textId="77777777" w:rsidR="00A526BC" w:rsidRDefault="00A526BC">
      <w:r>
        <w:separator/>
      </w:r>
    </w:p>
  </w:endnote>
  <w:endnote w:type="continuationSeparator" w:id="0">
    <w:p w14:paraId="39508C50" w14:textId="77777777" w:rsidR="00A526BC" w:rsidRDefault="00A5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200C" w14:textId="77777777" w:rsidR="00A526BC" w:rsidRDefault="00A526BC">
      <w:r>
        <w:separator/>
      </w:r>
    </w:p>
  </w:footnote>
  <w:footnote w:type="continuationSeparator" w:id="0">
    <w:p w14:paraId="094366CA" w14:textId="77777777" w:rsidR="00A526BC" w:rsidRDefault="00A52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0D1B" w14:textId="77777777" w:rsidR="00315D1E" w:rsidRDefault="00315D1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6175F6" w14:textId="77777777" w:rsidR="00315D1E" w:rsidRDefault="00315D1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1095" w14:textId="77777777" w:rsidR="00315D1E" w:rsidRDefault="00315D1E">
    <w:pPr>
      <w:pStyle w:val="Header"/>
      <w:ind w:right="160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E4C1068"/>
    <w:lvl w:ilvl="0">
      <w:start w:val="1"/>
      <w:numFmt w:val="decimal"/>
      <w:lvlText w:val="%1"/>
      <w:lvlJc w:val="left"/>
      <w:pPr>
        <w:ind w:left="431" w:hanging="432"/>
      </w:pPr>
      <w:rPr>
        <w:rFonts w:hint="default"/>
      </w:rPr>
    </w:lvl>
    <w:lvl w:ilvl="1">
      <w:start w:val="1"/>
      <w:numFmt w:val="decimal"/>
      <w:lvlText w:val="%1.%2"/>
      <w:legacy w:legacy="1" w:legacySpace="120" w:legacyIndent="576"/>
      <w:lvlJc w:val="left"/>
      <w:pPr>
        <w:ind w:left="1001" w:hanging="576"/>
      </w:pPr>
    </w:lvl>
    <w:lvl w:ilvl="2">
      <w:start w:val="1"/>
      <w:numFmt w:val="decimal"/>
      <w:lvlText w:val="%1.%2.%3"/>
      <w:legacy w:legacy="1" w:legacySpace="120" w:legacyIndent="720"/>
      <w:lvlJc w:val="left"/>
      <w:pPr>
        <w:ind w:left="720" w:hanging="720"/>
      </w:pPr>
    </w:lvl>
    <w:lvl w:ilvl="3">
      <w:start w:val="1"/>
      <w:numFmt w:val="decimal"/>
      <w:lvlText w:val="%1.%2.%3.%4"/>
      <w:legacy w:legacy="1" w:legacySpace="120" w:legacyIndent="864"/>
      <w:lvlJc w:val="left"/>
      <w:pPr>
        <w:ind w:left="864" w:hanging="86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9A206F"/>
    <w:multiLevelType w:val="singleLevel"/>
    <w:tmpl w:val="E16CA58A"/>
    <w:lvl w:ilvl="0">
      <w:numFmt w:val="decimal"/>
      <w:lvlText w:val="%1"/>
      <w:legacy w:legacy="1" w:legacySpace="0" w:legacyIndent="0"/>
      <w:lvlJc w:val="left"/>
    </w:lvl>
  </w:abstractNum>
  <w:abstractNum w:abstractNumId="2" w15:restartNumberingAfterBreak="0">
    <w:nsid w:val="02CF6607"/>
    <w:multiLevelType w:val="hybridMultilevel"/>
    <w:tmpl w:val="6A1085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2574D4"/>
    <w:multiLevelType w:val="hybridMultilevel"/>
    <w:tmpl w:val="7884FC26"/>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1777629E"/>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2E55E71"/>
    <w:multiLevelType w:val="hybridMultilevel"/>
    <w:tmpl w:val="CD5E2E0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38723EC"/>
    <w:multiLevelType w:val="hybridMultilevel"/>
    <w:tmpl w:val="9D4E1FF4"/>
    <w:lvl w:ilvl="0" w:tplc="0409000F">
      <w:start w:val="1"/>
      <w:numFmt w:val="decimal"/>
      <w:lvlText w:val="%1."/>
      <w:lvlJc w:val="left"/>
      <w:pPr>
        <w:tabs>
          <w:tab w:val="num" w:pos="648"/>
        </w:tabs>
        <w:ind w:left="648" w:hanging="360"/>
      </w:p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25487E51"/>
    <w:multiLevelType w:val="singleLevel"/>
    <w:tmpl w:val="E16CA58A"/>
    <w:lvl w:ilvl="0">
      <w:numFmt w:val="decimal"/>
      <w:lvlText w:val="%1"/>
      <w:legacy w:legacy="1" w:legacySpace="0" w:legacyIndent="0"/>
      <w:lvlJc w:val="left"/>
    </w:lvl>
  </w:abstractNum>
  <w:abstractNum w:abstractNumId="8" w15:restartNumberingAfterBreak="0">
    <w:nsid w:val="298F7D95"/>
    <w:multiLevelType w:val="hybridMultilevel"/>
    <w:tmpl w:val="18FAA9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A8F61DC"/>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BAA412B"/>
    <w:multiLevelType w:val="multilevel"/>
    <w:tmpl w:val="1F86B4AE"/>
    <w:lvl w:ilvl="0">
      <w:start w:val="1"/>
      <w:numFmt w:val="decimal"/>
      <w:lvlText w:val="%1."/>
      <w:legacy w:legacy="1" w:legacySpace="120" w:legacyIndent="432"/>
      <w:lvlJc w:val="left"/>
      <w:pPr>
        <w:ind w:left="431" w:hanging="432"/>
      </w:pPr>
    </w:lvl>
    <w:lvl w:ilvl="1">
      <w:start w:val="1"/>
      <w:numFmt w:val="decimal"/>
      <w:lvlText w:val="%1.%2"/>
      <w:legacy w:legacy="1" w:legacySpace="120" w:legacyIndent="576"/>
      <w:lvlJc w:val="left"/>
      <w:pPr>
        <w:ind w:left="578" w:hanging="576"/>
      </w:pPr>
    </w:lvl>
    <w:lvl w:ilvl="2">
      <w:start w:val="1"/>
      <w:numFmt w:val="decimal"/>
      <w:lvlText w:val="%1.%2.%3"/>
      <w:legacy w:legacy="1" w:legacySpace="120" w:legacyIndent="720"/>
      <w:lvlJc w:val="left"/>
      <w:pPr>
        <w:ind w:left="720" w:hanging="720"/>
      </w:pPr>
    </w:lvl>
    <w:lvl w:ilvl="3">
      <w:start w:val="1"/>
      <w:numFmt w:val="decimal"/>
      <w:lvlText w:val="%1.%2.%3.%4"/>
      <w:legacy w:legacy="1" w:legacySpace="120" w:legacyIndent="864"/>
      <w:lvlJc w:val="left"/>
      <w:pPr>
        <w:ind w:left="864" w:hanging="86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2D194B8E"/>
    <w:multiLevelType w:val="singleLevel"/>
    <w:tmpl w:val="44D8A380"/>
    <w:lvl w:ilvl="0">
      <w:numFmt w:val="decimal"/>
      <w:lvlText w:val="%1"/>
      <w:legacy w:legacy="1" w:legacySpace="0" w:legacyIndent="0"/>
      <w:lvlJc w:val="left"/>
    </w:lvl>
  </w:abstractNum>
  <w:abstractNum w:abstractNumId="12" w15:restartNumberingAfterBreak="0">
    <w:nsid w:val="2FCA1735"/>
    <w:multiLevelType w:val="singleLevel"/>
    <w:tmpl w:val="44D8A380"/>
    <w:lvl w:ilvl="0">
      <w:numFmt w:val="decimal"/>
      <w:lvlText w:val="%1"/>
      <w:legacy w:legacy="1" w:legacySpace="0" w:legacyIndent="0"/>
      <w:lvlJc w:val="left"/>
    </w:lvl>
  </w:abstractNum>
  <w:abstractNum w:abstractNumId="13" w15:restartNumberingAfterBreak="0">
    <w:nsid w:val="2FD83959"/>
    <w:multiLevelType w:val="hybridMultilevel"/>
    <w:tmpl w:val="7DF0FF1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4F5076"/>
    <w:multiLevelType w:val="multilevel"/>
    <w:tmpl w:val="7E4EFF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7464907"/>
    <w:multiLevelType w:val="hybridMultilevel"/>
    <w:tmpl w:val="C84CA5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164D75"/>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0443B7C"/>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2D359A1"/>
    <w:multiLevelType w:val="hybridMultilevel"/>
    <w:tmpl w:val="89808D9A"/>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433B72F4"/>
    <w:multiLevelType w:val="multilevel"/>
    <w:tmpl w:val="8E561422"/>
    <w:lvl w:ilvl="0">
      <w:start w:val="3"/>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470A1375"/>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815159E"/>
    <w:multiLevelType w:val="singleLevel"/>
    <w:tmpl w:val="44D8A380"/>
    <w:lvl w:ilvl="0">
      <w:numFmt w:val="decimal"/>
      <w:lvlText w:val="%1"/>
      <w:legacy w:legacy="1" w:legacySpace="0" w:legacyIndent="0"/>
      <w:lvlJc w:val="left"/>
    </w:lvl>
  </w:abstractNum>
  <w:abstractNum w:abstractNumId="22" w15:restartNumberingAfterBreak="0">
    <w:nsid w:val="4B4C63E9"/>
    <w:multiLevelType w:val="hybridMultilevel"/>
    <w:tmpl w:val="4C246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19293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BF20F2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40B4CE1"/>
    <w:multiLevelType w:val="multilevel"/>
    <w:tmpl w:val="93A0D4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5E30A79"/>
    <w:multiLevelType w:val="singleLevel"/>
    <w:tmpl w:val="44D8A380"/>
    <w:lvl w:ilvl="0">
      <w:numFmt w:val="decimal"/>
      <w:lvlText w:val="%1"/>
      <w:legacy w:legacy="1" w:legacySpace="0" w:legacyIndent="0"/>
      <w:lvlJc w:val="left"/>
    </w:lvl>
  </w:abstractNum>
  <w:abstractNum w:abstractNumId="27" w15:restartNumberingAfterBreak="0">
    <w:nsid w:val="6D9B12BD"/>
    <w:multiLevelType w:val="hybridMultilevel"/>
    <w:tmpl w:val="1CA401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E542542"/>
    <w:multiLevelType w:val="singleLevel"/>
    <w:tmpl w:val="E16CA58A"/>
    <w:lvl w:ilvl="0">
      <w:numFmt w:val="decimal"/>
      <w:lvlText w:val="%1"/>
      <w:legacy w:legacy="1" w:legacySpace="0" w:legacyIndent="0"/>
      <w:lvlJc w:val="left"/>
    </w:lvl>
  </w:abstractNum>
  <w:abstractNum w:abstractNumId="29" w15:restartNumberingAfterBreak="0">
    <w:nsid w:val="7EED1E16"/>
    <w:multiLevelType w:val="hybridMultilevel"/>
    <w:tmpl w:val="EFD69D62"/>
    <w:lvl w:ilvl="0" w:tplc="0409000F">
      <w:start w:val="1"/>
      <w:numFmt w:val="decimal"/>
      <w:lvlText w:val="%1."/>
      <w:lvlJc w:val="left"/>
      <w:pPr>
        <w:tabs>
          <w:tab w:val="num" w:pos="288"/>
        </w:tabs>
        <w:ind w:left="288" w:hanging="360"/>
      </w:p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num w:numId="1" w16cid:durableId="245501454">
    <w:abstractNumId w:val="0"/>
  </w:num>
  <w:num w:numId="2" w16cid:durableId="1378579395">
    <w:abstractNumId w:val="1"/>
  </w:num>
  <w:num w:numId="3" w16cid:durableId="1678191814">
    <w:abstractNumId w:val="7"/>
  </w:num>
  <w:num w:numId="4" w16cid:durableId="443425358">
    <w:abstractNumId w:val="28"/>
  </w:num>
  <w:num w:numId="5" w16cid:durableId="1769347326">
    <w:abstractNumId w:val="12"/>
  </w:num>
  <w:num w:numId="6" w16cid:durableId="2136829911">
    <w:abstractNumId w:val="21"/>
  </w:num>
  <w:num w:numId="7" w16cid:durableId="124659948">
    <w:abstractNumId w:val="11"/>
  </w:num>
  <w:num w:numId="8" w16cid:durableId="696547243">
    <w:abstractNumId w:val="26"/>
  </w:num>
  <w:num w:numId="9" w16cid:durableId="1628465301">
    <w:abstractNumId w:val="23"/>
  </w:num>
  <w:num w:numId="10" w16cid:durableId="1563636552">
    <w:abstractNumId w:val="24"/>
  </w:num>
  <w:num w:numId="11" w16cid:durableId="874465261">
    <w:abstractNumId w:val="10"/>
  </w:num>
  <w:num w:numId="12" w16cid:durableId="154954604">
    <w:abstractNumId w:val="14"/>
  </w:num>
  <w:num w:numId="13" w16cid:durableId="552619413">
    <w:abstractNumId w:val="17"/>
  </w:num>
  <w:num w:numId="14" w16cid:durableId="1273778629">
    <w:abstractNumId w:val="20"/>
  </w:num>
  <w:num w:numId="15" w16cid:durableId="1333751354">
    <w:abstractNumId w:val="9"/>
  </w:num>
  <w:num w:numId="16" w16cid:durableId="254024575">
    <w:abstractNumId w:val="25"/>
  </w:num>
  <w:num w:numId="17" w16cid:durableId="1335104758">
    <w:abstractNumId w:val="4"/>
  </w:num>
  <w:num w:numId="18" w16cid:durableId="1967154399">
    <w:abstractNumId w:val="16"/>
  </w:num>
  <w:num w:numId="19" w16cid:durableId="1268807908">
    <w:abstractNumId w:val="0"/>
  </w:num>
  <w:num w:numId="20" w16cid:durableId="1748502919">
    <w:abstractNumId w:val="15"/>
  </w:num>
  <w:num w:numId="21" w16cid:durableId="329017786">
    <w:abstractNumId w:val="2"/>
  </w:num>
  <w:num w:numId="22" w16cid:durableId="1531912060">
    <w:abstractNumId w:val="29"/>
  </w:num>
  <w:num w:numId="23" w16cid:durableId="36049277">
    <w:abstractNumId w:val="6"/>
  </w:num>
  <w:num w:numId="24" w16cid:durableId="683290845">
    <w:abstractNumId w:val="8"/>
  </w:num>
  <w:num w:numId="25" w16cid:durableId="419837744">
    <w:abstractNumId w:val="19"/>
  </w:num>
  <w:num w:numId="26" w16cid:durableId="426539966">
    <w:abstractNumId w:val="27"/>
  </w:num>
  <w:num w:numId="27" w16cid:durableId="779884061">
    <w:abstractNumId w:val="3"/>
  </w:num>
  <w:num w:numId="28" w16cid:durableId="119618854">
    <w:abstractNumId w:val="5"/>
  </w:num>
  <w:num w:numId="29" w16cid:durableId="1409886508">
    <w:abstractNumId w:val="18"/>
  </w:num>
  <w:num w:numId="30" w16cid:durableId="70854849">
    <w:abstractNumId w:val="13"/>
  </w:num>
  <w:num w:numId="31" w16cid:durableId="1996836260">
    <w:abstractNumId w:val="22"/>
  </w:num>
  <w:num w:numId="32" w16cid:durableId="1689020900">
    <w:abstractNumId w:val="19"/>
  </w:num>
  <w:num w:numId="33" w16cid:durableId="592468539">
    <w:abstractNumId w:val="19"/>
  </w:num>
  <w:num w:numId="34" w16cid:durableId="1559128371">
    <w:abstractNumId w:val="19"/>
  </w:num>
  <w:num w:numId="35" w16cid:durableId="101615618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Francois St-Laurent">
    <w15:presenceInfo w15:providerId="AD" w15:userId="S::jst-laurent@srk.com::8c86408e-6937-491e-9bae-1c91727df7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1"/>
  <w:activeWritingStyle w:appName="MSWord" w:lang="fr-CA" w:vendorID="64" w:dllVersion="0" w:nlCheck="1" w:checkStyle="0"/>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activeWritingStyle w:appName="MSWord" w:lang="fr-CA" w:vendorID="64" w:dllVersion="4096" w:nlCheck="1" w:checkStyle="0"/>
  <w:activeWritingStyle w:appName="MSWord" w:lang="pt-BR" w:vendorID="64" w:dllVersion="0" w:nlCheck="1" w:checkStyle="0"/>
  <w:defaultTabStop w:val="720"/>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Q0NDM1NjczMzYzNzBT0lEKTi0uzszPAykwqgUANJgGoSwAAAA="/>
  </w:docVars>
  <w:rsids>
    <w:rsidRoot w:val="00877DF2"/>
    <w:rsid w:val="00001183"/>
    <w:rsid w:val="0000302E"/>
    <w:rsid w:val="000043F6"/>
    <w:rsid w:val="00005897"/>
    <w:rsid w:val="00012710"/>
    <w:rsid w:val="00014A85"/>
    <w:rsid w:val="000154BD"/>
    <w:rsid w:val="00016C01"/>
    <w:rsid w:val="000230F8"/>
    <w:rsid w:val="00032215"/>
    <w:rsid w:val="000331DB"/>
    <w:rsid w:val="00033EBA"/>
    <w:rsid w:val="000468A0"/>
    <w:rsid w:val="00066C59"/>
    <w:rsid w:val="00072C67"/>
    <w:rsid w:val="0007608D"/>
    <w:rsid w:val="00077D34"/>
    <w:rsid w:val="000861DD"/>
    <w:rsid w:val="0008669A"/>
    <w:rsid w:val="000907C8"/>
    <w:rsid w:val="0009455D"/>
    <w:rsid w:val="00096665"/>
    <w:rsid w:val="000979DF"/>
    <w:rsid w:val="000A2EAD"/>
    <w:rsid w:val="000A4AFC"/>
    <w:rsid w:val="000A64E5"/>
    <w:rsid w:val="000B09D4"/>
    <w:rsid w:val="000B1331"/>
    <w:rsid w:val="000B4A70"/>
    <w:rsid w:val="000B4FBD"/>
    <w:rsid w:val="000B6357"/>
    <w:rsid w:val="000B63D6"/>
    <w:rsid w:val="000D3425"/>
    <w:rsid w:val="000D3AB2"/>
    <w:rsid w:val="000D3F69"/>
    <w:rsid w:val="000D7815"/>
    <w:rsid w:val="000E64EB"/>
    <w:rsid w:val="000E757D"/>
    <w:rsid w:val="000F0C33"/>
    <w:rsid w:val="000F6FD0"/>
    <w:rsid w:val="00101242"/>
    <w:rsid w:val="00102817"/>
    <w:rsid w:val="00102D32"/>
    <w:rsid w:val="00102E79"/>
    <w:rsid w:val="00103BFF"/>
    <w:rsid w:val="0010675B"/>
    <w:rsid w:val="00107ED6"/>
    <w:rsid w:val="00113DC0"/>
    <w:rsid w:val="00115F92"/>
    <w:rsid w:val="001230EF"/>
    <w:rsid w:val="00123992"/>
    <w:rsid w:val="0012437B"/>
    <w:rsid w:val="001265C1"/>
    <w:rsid w:val="00130438"/>
    <w:rsid w:val="00131AE2"/>
    <w:rsid w:val="00134C54"/>
    <w:rsid w:val="00134F63"/>
    <w:rsid w:val="001377E1"/>
    <w:rsid w:val="001378AA"/>
    <w:rsid w:val="001379B2"/>
    <w:rsid w:val="00142DFF"/>
    <w:rsid w:val="001524D1"/>
    <w:rsid w:val="00156821"/>
    <w:rsid w:val="001665D9"/>
    <w:rsid w:val="0017091B"/>
    <w:rsid w:val="00172D5C"/>
    <w:rsid w:val="00173357"/>
    <w:rsid w:val="00175E5E"/>
    <w:rsid w:val="00182BF5"/>
    <w:rsid w:val="00183403"/>
    <w:rsid w:val="001868F6"/>
    <w:rsid w:val="001925F8"/>
    <w:rsid w:val="00196FA7"/>
    <w:rsid w:val="001A2311"/>
    <w:rsid w:val="001A4847"/>
    <w:rsid w:val="001A615E"/>
    <w:rsid w:val="001A6E00"/>
    <w:rsid w:val="001B2C12"/>
    <w:rsid w:val="001B2F32"/>
    <w:rsid w:val="001B5359"/>
    <w:rsid w:val="001B5564"/>
    <w:rsid w:val="001B66FC"/>
    <w:rsid w:val="001C0BAF"/>
    <w:rsid w:val="001C13CB"/>
    <w:rsid w:val="001C178B"/>
    <w:rsid w:val="001C1CFF"/>
    <w:rsid w:val="001C36D1"/>
    <w:rsid w:val="001C47BC"/>
    <w:rsid w:val="001C6C2C"/>
    <w:rsid w:val="001C7FD2"/>
    <w:rsid w:val="001D28FB"/>
    <w:rsid w:val="001D2B9C"/>
    <w:rsid w:val="001D3E30"/>
    <w:rsid w:val="001E3E88"/>
    <w:rsid w:val="001E7A3C"/>
    <w:rsid w:val="001F09A4"/>
    <w:rsid w:val="001F1F3C"/>
    <w:rsid w:val="001F5297"/>
    <w:rsid w:val="001F59E5"/>
    <w:rsid w:val="001F68D0"/>
    <w:rsid w:val="0020000A"/>
    <w:rsid w:val="00203D45"/>
    <w:rsid w:val="00204B40"/>
    <w:rsid w:val="002052E0"/>
    <w:rsid w:val="0020547B"/>
    <w:rsid w:val="00212579"/>
    <w:rsid w:val="00221A18"/>
    <w:rsid w:val="00223B7C"/>
    <w:rsid w:val="00224611"/>
    <w:rsid w:val="00226CD7"/>
    <w:rsid w:val="00230C7F"/>
    <w:rsid w:val="00230D96"/>
    <w:rsid w:val="00231AEC"/>
    <w:rsid w:val="002331A5"/>
    <w:rsid w:val="0023364E"/>
    <w:rsid w:val="0023530E"/>
    <w:rsid w:val="00242539"/>
    <w:rsid w:val="00243826"/>
    <w:rsid w:val="00244A32"/>
    <w:rsid w:val="00246142"/>
    <w:rsid w:val="0024644B"/>
    <w:rsid w:val="00255C4D"/>
    <w:rsid w:val="0025683B"/>
    <w:rsid w:val="0026414E"/>
    <w:rsid w:val="00264F92"/>
    <w:rsid w:val="00267C4B"/>
    <w:rsid w:val="0027076A"/>
    <w:rsid w:val="00271077"/>
    <w:rsid w:val="002712FE"/>
    <w:rsid w:val="00273F8C"/>
    <w:rsid w:val="00277482"/>
    <w:rsid w:val="00281A24"/>
    <w:rsid w:val="0028236A"/>
    <w:rsid w:val="002876F5"/>
    <w:rsid w:val="00287A3E"/>
    <w:rsid w:val="00290BFA"/>
    <w:rsid w:val="002C3EF4"/>
    <w:rsid w:val="002C5DD8"/>
    <w:rsid w:val="002C6BE9"/>
    <w:rsid w:val="002D0BA6"/>
    <w:rsid w:val="002D14AA"/>
    <w:rsid w:val="002D345F"/>
    <w:rsid w:val="002D48C4"/>
    <w:rsid w:val="002D4CDF"/>
    <w:rsid w:val="002E04DD"/>
    <w:rsid w:val="002E16D2"/>
    <w:rsid w:val="002E254F"/>
    <w:rsid w:val="002E370F"/>
    <w:rsid w:val="002F1B92"/>
    <w:rsid w:val="002F6D21"/>
    <w:rsid w:val="002F7704"/>
    <w:rsid w:val="00301DC3"/>
    <w:rsid w:val="00306866"/>
    <w:rsid w:val="003072F7"/>
    <w:rsid w:val="003105E0"/>
    <w:rsid w:val="00310960"/>
    <w:rsid w:val="00310D42"/>
    <w:rsid w:val="00312186"/>
    <w:rsid w:val="00313193"/>
    <w:rsid w:val="00315D1E"/>
    <w:rsid w:val="00316616"/>
    <w:rsid w:val="00316FFE"/>
    <w:rsid w:val="00317BD5"/>
    <w:rsid w:val="00320B36"/>
    <w:rsid w:val="0032322E"/>
    <w:rsid w:val="003233D9"/>
    <w:rsid w:val="00326061"/>
    <w:rsid w:val="0032674F"/>
    <w:rsid w:val="00326E9F"/>
    <w:rsid w:val="00331CA6"/>
    <w:rsid w:val="00331DC0"/>
    <w:rsid w:val="00335F5C"/>
    <w:rsid w:val="00336F0F"/>
    <w:rsid w:val="00337904"/>
    <w:rsid w:val="00337A43"/>
    <w:rsid w:val="003401E7"/>
    <w:rsid w:val="0034201F"/>
    <w:rsid w:val="003435E4"/>
    <w:rsid w:val="00346880"/>
    <w:rsid w:val="003479DF"/>
    <w:rsid w:val="00353520"/>
    <w:rsid w:val="00354116"/>
    <w:rsid w:val="00354798"/>
    <w:rsid w:val="003562D6"/>
    <w:rsid w:val="00361B5D"/>
    <w:rsid w:val="003627A2"/>
    <w:rsid w:val="00362D24"/>
    <w:rsid w:val="00367332"/>
    <w:rsid w:val="00370194"/>
    <w:rsid w:val="00372E20"/>
    <w:rsid w:val="00375A30"/>
    <w:rsid w:val="00376738"/>
    <w:rsid w:val="00377358"/>
    <w:rsid w:val="003774F1"/>
    <w:rsid w:val="00380A3D"/>
    <w:rsid w:val="00380B9E"/>
    <w:rsid w:val="003820E2"/>
    <w:rsid w:val="00385877"/>
    <w:rsid w:val="003A6EBF"/>
    <w:rsid w:val="003A7182"/>
    <w:rsid w:val="003B4318"/>
    <w:rsid w:val="003B538B"/>
    <w:rsid w:val="003B593B"/>
    <w:rsid w:val="003C5843"/>
    <w:rsid w:val="003D1530"/>
    <w:rsid w:val="003E44CB"/>
    <w:rsid w:val="003F4FC9"/>
    <w:rsid w:val="0040131E"/>
    <w:rsid w:val="00402071"/>
    <w:rsid w:val="004029CE"/>
    <w:rsid w:val="004037E0"/>
    <w:rsid w:val="00410DF0"/>
    <w:rsid w:val="0041233B"/>
    <w:rsid w:val="00417005"/>
    <w:rsid w:val="00422368"/>
    <w:rsid w:val="00426822"/>
    <w:rsid w:val="0042738E"/>
    <w:rsid w:val="004273EF"/>
    <w:rsid w:val="004310B4"/>
    <w:rsid w:val="0043125B"/>
    <w:rsid w:val="004349C6"/>
    <w:rsid w:val="00435369"/>
    <w:rsid w:val="004359E5"/>
    <w:rsid w:val="004425D3"/>
    <w:rsid w:val="00443888"/>
    <w:rsid w:val="0044742B"/>
    <w:rsid w:val="00447795"/>
    <w:rsid w:val="004521A5"/>
    <w:rsid w:val="004556F1"/>
    <w:rsid w:val="00455DFE"/>
    <w:rsid w:val="0046007C"/>
    <w:rsid w:val="0046076A"/>
    <w:rsid w:val="00462584"/>
    <w:rsid w:val="00467044"/>
    <w:rsid w:val="00472A25"/>
    <w:rsid w:val="00473A93"/>
    <w:rsid w:val="0048421D"/>
    <w:rsid w:val="00485AA9"/>
    <w:rsid w:val="004866BF"/>
    <w:rsid w:val="00486B65"/>
    <w:rsid w:val="004945B3"/>
    <w:rsid w:val="00495EF7"/>
    <w:rsid w:val="00497D64"/>
    <w:rsid w:val="004A5130"/>
    <w:rsid w:val="004A6707"/>
    <w:rsid w:val="004B0AF0"/>
    <w:rsid w:val="004B1506"/>
    <w:rsid w:val="004B2B4E"/>
    <w:rsid w:val="004B2CF9"/>
    <w:rsid w:val="004B3FFF"/>
    <w:rsid w:val="004C14BF"/>
    <w:rsid w:val="004C1A60"/>
    <w:rsid w:val="004C30D5"/>
    <w:rsid w:val="004C4EE0"/>
    <w:rsid w:val="004D0DB6"/>
    <w:rsid w:val="004E0AE8"/>
    <w:rsid w:val="004E445A"/>
    <w:rsid w:val="004E6418"/>
    <w:rsid w:val="004E6C94"/>
    <w:rsid w:val="004E7A95"/>
    <w:rsid w:val="004E7B60"/>
    <w:rsid w:val="004F25BE"/>
    <w:rsid w:val="004F391E"/>
    <w:rsid w:val="004F4329"/>
    <w:rsid w:val="00500438"/>
    <w:rsid w:val="00500A9D"/>
    <w:rsid w:val="005023D0"/>
    <w:rsid w:val="00502D8F"/>
    <w:rsid w:val="00504812"/>
    <w:rsid w:val="00507009"/>
    <w:rsid w:val="00512E1B"/>
    <w:rsid w:val="00515724"/>
    <w:rsid w:val="0052089E"/>
    <w:rsid w:val="0052290A"/>
    <w:rsid w:val="00536D27"/>
    <w:rsid w:val="00545CED"/>
    <w:rsid w:val="00547284"/>
    <w:rsid w:val="00547297"/>
    <w:rsid w:val="005472C6"/>
    <w:rsid w:val="00552EB8"/>
    <w:rsid w:val="005567B0"/>
    <w:rsid w:val="00557FD9"/>
    <w:rsid w:val="00560AC0"/>
    <w:rsid w:val="00563300"/>
    <w:rsid w:val="00564B80"/>
    <w:rsid w:val="00565C7C"/>
    <w:rsid w:val="005703E3"/>
    <w:rsid w:val="00573D9B"/>
    <w:rsid w:val="00574E9B"/>
    <w:rsid w:val="00577F74"/>
    <w:rsid w:val="00585626"/>
    <w:rsid w:val="005856E1"/>
    <w:rsid w:val="0058597A"/>
    <w:rsid w:val="00586844"/>
    <w:rsid w:val="00594278"/>
    <w:rsid w:val="005A114E"/>
    <w:rsid w:val="005A1EB1"/>
    <w:rsid w:val="005A525D"/>
    <w:rsid w:val="005A697D"/>
    <w:rsid w:val="005B0C03"/>
    <w:rsid w:val="005B1F06"/>
    <w:rsid w:val="005B3F6A"/>
    <w:rsid w:val="005B4974"/>
    <w:rsid w:val="005B7C47"/>
    <w:rsid w:val="005C2EC1"/>
    <w:rsid w:val="005C4754"/>
    <w:rsid w:val="005C5BCE"/>
    <w:rsid w:val="005C72A7"/>
    <w:rsid w:val="005D11A1"/>
    <w:rsid w:val="005D1604"/>
    <w:rsid w:val="005D3B1F"/>
    <w:rsid w:val="005D428C"/>
    <w:rsid w:val="005D4875"/>
    <w:rsid w:val="005E1660"/>
    <w:rsid w:val="005E5423"/>
    <w:rsid w:val="005F2469"/>
    <w:rsid w:val="005F6463"/>
    <w:rsid w:val="006076E7"/>
    <w:rsid w:val="00610FA6"/>
    <w:rsid w:val="006113ED"/>
    <w:rsid w:val="00615D9A"/>
    <w:rsid w:val="00615E05"/>
    <w:rsid w:val="006219C0"/>
    <w:rsid w:val="00624910"/>
    <w:rsid w:val="00625373"/>
    <w:rsid w:val="0063116B"/>
    <w:rsid w:val="00634A3C"/>
    <w:rsid w:val="00641150"/>
    <w:rsid w:val="00646FCB"/>
    <w:rsid w:val="00652752"/>
    <w:rsid w:val="00655F34"/>
    <w:rsid w:val="00656353"/>
    <w:rsid w:val="00660782"/>
    <w:rsid w:val="00661830"/>
    <w:rsid w:val="0066787C"/>
    <w:rsid w:val="006715A7"/>
    <w:rsid w:val="00671E92"/>
    <w:rsid w:val="00674187"/>
    <w:rsid w:val="00674A20"/>
    <w:rsid w:val="00675D23"/>
    <w:rsid w:val="00677949"/>
    <w:rsid w:val="00681B8E"/>
    <w:rsid w:val="00686220"/>
    <w:rsid w:val="0069010F"/>
    <w:rsid w:val="00693695"/>
    <w:rsid w:val="00693BDB"/>
    <w:rsid w:val="006944C5"/>
    <w:rsid w:val="006A13C1"/>
    <w:rsid w:val="006A7D23"/>
    <w:rsid w:val="006B2509"/>
    <w:rsid w:val="006B596E"/>
    <w:rsid w:val="006B61D9"/>
    <w:rsid w:val="006B67FC"/>
    <w:rsid w:val="006C2BBE"/>
    <w:rsid w:val="006C3822"/>
    <w:rsid w:val="006C5F2F"/>
    <w:rsid w:val="006C6011"/>
    <w:rsid w:val="006C6285"/>
    <w:rsid w:val="006D211B"/>
    <w:rsid w:val="006D3C02"/>
    <w:rsid w:val="006D3DB5"/>
    <w:rsid w:val="006D5C3A"/>
    <w:rsid w:val="006E4A37"/>
    <w:rsid w:val="006E5132"/>
    <w:rsid w:val="006E5AA1"/>
    <w:rsid w:val="006E61DD"/>
    <w:rsid w:val="006F451B"/>
    <w:rsid w:val="006F463E"/>
    <w:rsid w:val="006F47E5"/>
    <w:rsid w:val="006F5C14"/>
    <w:rsid w:val="006F7F49"/>
    <w:rsid w:val="007009FF"/>
    <w:rsid w:val="00701F68"/>
    <w:rsid w:val="007025B5"/>
    <w:rsid w:val="0070301D"/>
    <w:rsid w:val="00704EA2"/>
    <w:rsid w:val="00705C4F"/>
    <w:rsid w:val="007069BD"/>
    <w:rsid w:val="00714DFB"/>
    <w:rsid w:val="00715788"/>
    <w:rsid w:val="0071785E"/>
    <w:rsid w:val="00717C23"/>
    <w:rsid w:val="00717C4D"/>
    <w:rsid w:val="007202FC"/>
    <w:rsid w:val="00720F7D"/>
    <w:rsid w:val="00725BA0"/>
    <w:rsid w:val="00730543"/>
    <w:rsid w:val="0074649A"/>
    <w:rsid w:val="007500AF"/>
    <w:rsid w:val="00752634"/>
    <w:rsid w:val="00755446"/>
    <w:rsid w:val="0076044C"/>
    <w:rsid w:val="0076051D"/>
    <w:rsid w:val="00760565"/>
    <w:rsid w:val="007637EF"/>
    <w:rsid w:val="007678AB"/>
    <w:rsid w:val="00767ADB"/>
    <w:rsid w:val="00771339"/>
    <w:rsid w:val="0077193F"/>
    <w:rsid w:val="00774DF4"/>
    <w:rsid w:val="007804AC"/>
    <w:rsid w:val="00781200"/>
    <w:rsid w:val="00782750"/>
    <w:rsid w:val="0078578B"/>
    <w:rsid w:val="007871DD"/>
    <w:rsid w:val="00787B63"/>
    <w:rsid w:val="00791ED0"/>
    <w:rsid w:val="00793816"/>
    <w:rsid w:val="00795595"/>
    <w:rsid w:val="00795BAD"/>
    <w:rsid w:val="007A753C"/>
    <w:rsid w:val="007B0CD6"/>
    <w:rsid w:val="007B18B6"/>
    <w:rsid w:val="007B1B82"/>
    <w:rsid w:val="007D0A35"/>
    <w:rsid w:val="007D50B0"/>
    <w:rsid w:val="007D58D0"/>
    <w:rsid w:val="007D749B"/>
    <w:rsid w:val="007E36BB"/>
    <w:rsid w:val="007E4683"/>
    <w:rsid w:val="007F4758"/>
    <w:rsid w:val="007F6622"/>
    <w:rsid w:val="007F7912"/>
    <w:rsid w:val="00800CE9"/>
    <w:rsid w:val="00800DB7"/>
    <w:rsid w:val="00805971"/>
    <w:rsid w:val="008067DA"/>
    <w:rsid w:val="00806C60"/>
    <w:rsid w:val="00810256"/>
    <w:rsid w:val="00815654"/>
    <w:rsid w:val="00815A6C"/>
    <w:rsid w:val="00824991"/>
    <w:rsid w:val="00825AF8"/>
    <w:rsid w:val="00826D93"/>
    <w:rsid w:val="008272E8"/>
    <w:rsid w:val="00834C37"/>
    <w:rsid w:val="00840524"/>
    <w:rsid w:val="00840C37"/>
    <w:rsid w:val="00842FE8"/>
    <w:rsid w:val="00844970"/>
    <w:rsid w:val="00846D21"/>
    <w:rsid w:val="00847B25"/>
    <w:rsid w:val="0085749A"/>
    <w:rsid w:val="008601EA"/>
    <w:rsid w:val="00861536"/>
    <w:rsid w:val="00870FF4"/>
    <w:rsid w:val="00871AA5"/>
    <w:rsid w:val="0087238A"/>
    <w:rsid w:val="00877DF2"/>
    <w:rsid w:val="008858E2"/>
    <w:rsid w:val="0089007C"/>
    <w:rsid w:val="008928E1"/>
    <w:rsid w:val="00892D4C"/>
    <w:rsid w:val="008941BB"/>
    <w:rsid w:val="00894EF2"/>
    <w:rsid w:val="00897316"/>
    <w:rsid w:val="008A23E8"/>
    <w:rsid w:val="008B11F6"/>
    <w:rsid w:val="008B7E88"/>
    <w:rsid w:val="008C64E2"/>
    <w:rsid w:val="008C6E1D"/>
    <w:rsid w:val="008D3C58"/>
    <w:rsid w:val="008D53A9"/>
    <w:rsid w:val="008D752D"/>
    <w:rsid w:val="008E468C"/>
    <w:rsid w:val="008E6285"/>
    <w:rsid w:val="008E6755"/>
    <w:rsid w:val="008E7D05"/>
    <w:rsid w:val="008F5C6C"/>
    <w:rsid w:val="008F7B39"/>
    <w:rsid w:val="00904EBA"/>
    <w:rsid w:val="00905333"/>
    <w:rsid w:val="0091055F"/>
    <w:rsid w:val="00912BFA"/>
    <w:rsid w:val="00913986"/>
    <w:rsid w:val="00915E55"/>
    <w:rsid w:val="00916764"/>
    <w:rsid w:val="00916BB3"/>
    <w:rsid w:val="0092049C"/>
    <w:rsid w:val="00921AE9"/>
    <w:rsid w:val="009254EC"/>
    <w:rsid w:val="009255BA"/>
    <w:rsid w:val="00926154"/>
    <w:rsid w:val="00933210"/>
    <w:rsid w:val="00934E6F"/>
    <w:rsid w:val="00936D20"/>
    <w:rsid w:val="00937F62"/>
    <w:rsid w:val="00941A2C"/>
    <w:rsid w:val="0094450E"/>
    <w:rsid w:val="00946B8D"/>
    <w:rsid w:val="00950153"/>
    <w:rsid w:val="00952E40"/>
    <w:rsid w:val="0095356C"/>
    <w:rsid w:val="00957D49"/>
    <w:rsid w:val="0096061C"/>
    <w:rsid w:val="00961AAB"/>
    <w:rsid w:val="0096792F"/>
    <w:rsid w:val="00971F8E"/>
    <w:rsid w:val="00973707"/>
    <w:rsid w:val="00976610"/>
    <w:rsid w:val="009773FC"/>
    <w:rsid w:val="009825D8"/>
    <w:rsid w:val="00982EFE"/>
    <w:rsid w:val="00985DC8"/>
    <w:rsid w:val="009862B7"/>
    <w:rsid w:val="00991FD2"/>
    <w:rsid w:val="009A0013"/>
    <w:rsid w:val="009B0058"/>
    <w:rsid w:val="009B19E6"/>
    <w:rsid w:val="009B227F"/>
    <w:rsid w:val="009C086E"/>
    <w:rsid w:val="009C2EEE"/>
    <w:rsid w:val="009C42F6"/>
    <w:rsid w:val="009C76AD"/>
    <w:rsid w:val="009C76BA"/>
    <w:rsid w:val="009D2B99"/>
    <w:rsid w:val="009D30C2"/>
    <w:rsid w:val="009D3809"/>
    <w:rsid w:val="009D4DAB"/>
    <w:rsid w:val="009E2092"/>
    <w:rsid w:val="009E3515"/>
    <w:rsid w:val="009E5F0A"/>
    <w:rsid w:val="009E7E23"/>
    <w:rsid w:val="009F37FB"/>
    <w:rsid w:val="009F750C"/>
    <w:rsid w:val="00A02AE5"/>
    <w:rsid w:val="00A033D7"/>
    <w:rsid w:val="00A06DD6"/>
    <w:rsid w:val="00A10437"/>
    <w:rsid w:val="00A10B77"/>
    <w:rsid w:val="00A12728"/>
    <w:rsid w:val="00A133A4"/>
    <w:rsid w:val="00A13E30"/>
    <w:rsid w:val="00A15CE0"/>
    <w:rsid w:val="00A17378"/>
    <w:rsid w:val="00A20BF5"/>
    <w:rsid w:val="00A2411E"/>
    <w:rsid w:val="00A24943"/>
    <w:rsid w:val="00A316C3"/>
    <w:rsid w:val="00A35FAF"/>
    <w:rsid w:val="00A376FD"/>
    <w:rsid w:val="00A41A2B"/>
    <w:rsid w:val="00A44635"/>
    <w:rsid w:val="00A47A1F"/>
    <w:rsid w:val="00A50FD4"/>
    <w:rsid w:val="00A526BC"/>
    <w:rsid w:val="00A548A9"/>
    <w:rsid w:val="00A54BBD"/>
    <w:rsid w:val="00A551C6"/>
    <w:rsid w:val="00A60AA5"/>
    <w:rsid w:val="00A61271"/>
    <w:rsid w:val="00A61642"/>
    <w:rsid w:val="00A61C35"/>
    <w:rsid w:val="00A72805"/>
    <w:rsid w:val="00A7540A"/>
    <w:rsid w:val="00A76EA1"/>
    <w:rsid w:val="00A77008"/>
    <w:rsid w:val="00A80457"/>
    <w:rsid w:val="00A8549E"/>
    <w:rsid w:val="00A856DD"/>
    <w:rsid w:val="00A85E84"/>
    <w:rsid w:val="00A86779"/>
    <w:rsid w:val="00A86F82"/>
    <w:rsid w:val="00A87E84"/>
    <w:rsid w:val="00A9384E"/>
    <w:rsid w:val="00A94128"/>
    <w:rsid w:val="00A94F13"/>
    <w:rsid w:val="00AA02CA"/>
    <w:rsid w:val="00AA11BE"/>
    <w:rsid w:val="00AA5D6D"/>
    <w:rsid w:val="00AA6E4C"/>
    <w:rsid w:val="00AA7E9C"/>
    <w:rsid w:val="00AC44B0"/>
    <w:rsid w:val="00AC6F4F"/>
    <w:rsid w:val="00AD5D51"/>
    <w:rsid w:val="00AD6A50"/>
    <w:rsid w:val="00AE0954"/>
    <w:rsid w:val="00AE20CE"/>
    <w:rsid w:val="00AE296D"/>
    <w:rsid w:val="00AE32BD"/>
    <w:rsid w:val="00AE38EE"/>
    <w:rsid w:val="00AE3B99"/>
    <w:rsid w:val="00AE6872"/>
    <w:rsid w:val="00AE7E68"/>
    <w:rsid w:val="00AF2A18"/>
    <w:rsid w:val="00AF4521"/>
    <w:rsid w:val="00AF57AA"/>
    <w:rsid w:val="00AF6455"/>
    <w:rsid w:val="00B01ECE"/>
    <w:rsid w:val="00B170B7"/>
    <w:rsid w:val="00B22594"/>
    <w:rsid w:val="00B23538"/>
    <w:rsid w:val="00B23720"/>
    <w:rsid w:val="00B243DD"/>
    <w:rsid w:val="00B35AE3"/>
    <w:rsid w:val="00B3653F"/>
    <w:rsid w:val="00B36DA1"/>
    <w:rsid w:val="00B43FC7"/>
    <w:rsid w:val="00B443DF"/>
    <w:rsid w:val="00B5177D"/>
    <w:rsid w:val="00B5317B"/>
    <w:rsid w:val="00B60565"/>
    <w:rsid w:val="00B63493"/>
    <w:rsid w:val="00B72024"/>
    <w:rsid w:val="00B73E3D"/>
    <w:rsid w:val="00B75B55"/>
    <w:rsid w:val="00B77981"/>
    <w:rsid w:val="00B847AE"/>
    <w:rsid w:val="00B87252"/>
    <w:rsid w:val="00B933D0"/>
    <w:rsid w:val="00B961E1"/>
    <w:rsid w:val="00B96EE6"/>
    <w:rsid w:val="00BA1491"/>
    <w:rsid w:val="00BA7256"/>
    <w:rsid w:val="00BC3116"/>
    <w:rsid w:val="00BC40E0"/>
    <w:rsid w:val="00BD7A0F"/>
    <w:rsid w:val="00BE75E1"/>
    <w:rsid w:val="00BF16E3"/>
    <w:rsid w:val="00BF279C"/>
    <w:rsid w:val="00BF474B"/>
    <w:rsid w:val="00BF76D8"/>
    <w:rsid w:val="00C02678"/>
    <w:rsid w:val="00C11E1D"/>
    <w:rsid w:val="00C170A7"/>
    <w:rsid w:val="00C24291"/>
    <w:rsid w:val="00C25484"/>
    <w:rsid w:val="00C256EA"/>
    <w:rsid w:val="00C27EE1"/>
    <w:rsid w:val="00C3348C"/>
    <w:rsid w:val="00C350FC"/>
    <w:rsid w:val="00C36997"/>
    <w:rsid w:val="00C507EA"/>
    <w:rsid w:val="00C51A85"/>
    <w:rsid w:val="00C52797"/>
    <w:rsid w:val="00C53798"/>
    <w:rsid w:val="00C56BE7"/>
    <w:rsid w:val="00C57B70"/>
    <w:rsid w:val="00C65609"/>
    <w:rsid w:val="00C67C68"/>
    <w:rsid w:val="00C71E2F"/>
    <w:rsid w:val="00C720CD"/>
    <w:rsid w:val="00C72238"/>
    <w:rsid w:val="00C72BB4"/>
    <w:rsid w:val="00C73371"/>
    <w:rsid w:val="00C7358D"/>
    <w:rsid w:val="00C73750"/>
    <w:rsid w:val="00C82947"/>
    <w:rsid w:val="00C82D0F"/>
    <w:rsid w:val="00C915CA"/>
    <w:rsid w:val="00C9291C"/>
    <w:rsid w:val="00C9767F"/>
    <w:rsid w:val="00CA108D"/>
    <w:rsid w:val="00CA1B7C"/>
    <w:rsid w:val="00CA4A5B"/>
    <w:rsid w:val="00CA753C"/>
    <w:rsid w:val="00CB06EB"/>
    <w:rsid w:val="00CB31B9"/>
    <w:rsid w:val="00CB6A45"/>
    <w:rsid w:val="00CC216D"/>
    <w:rsid w:val="00CD1434"/>
    <w:rsid w:val="00CD145D"/>
    <w:rsid w:val="00CD1678"/>
    <w:rsid w:val="00CD2958"/>
    <w:rsid w:val="00CD7E18"/>
    <w:rsid w:val="00CE14D1"/>
    <w:rsid w:val="00CE3019"/>
    <w:rsid w:val="00CE3B06"/>
    <w:rsid w:val="00CE49C7"/>
    <w:rsid w:val="00CE6BF5"/>
    <w:rsid w:val="00CE7818"/>
    <w:rsid w:val="00CF4567"/>
    <w:rsid w:val="00CF4CB6"/>
    <w:rsid w:val="00D000D3"/>
    <w:rsid w:val="00D032A4"/>
    <w:rsid w:val="00D0594F"/>
    <w:rsid w:val="00D07A27"/>
    <w:rsid w:val="00D10C86"/>
    <w:rsid w:val="00D135A7"/>
    <w:rsid w:val="00D137AD"/>
    <w:rsid w:val="00D163BE"/>
    <w:rsid w:val="00D16633"/>
    <w:rsid w:val="00D236D8"/>
    <w:rsid w:val="00D24DA7"/>
    <w:rsid w:val="00D301D7"/>
    <w:rsid w:val="00D3157C"/>
    <w:rsid w:val="00D31A6C"/>
    <w:rsid w:val="00D330E3"/>
    <w:rsid w:val="00D333E9"/>
    <w:rsid w:val="00D35620"/>
    <w:rsid w:val="00D44E54"/>
    <w:rsid w:val="00D450F0"/>
    <w:rsid w:val="00D45F29"/>
    <w:rsid w:val="00D46C9B"/>
    <w:rsid w:val="00D47F1C"/>
    <w:rsid w:val="00D50AAD"/>
    <w:rsid w:val="00D51B58"/>
    <w:rsid w:val="00D55224"/>
    <w:rsid w:val="00D57474"/>
    <w:rsid w:val="00D57D7D"/>
    <w:rsid w:val="00D60714"/>
    <w:rsid w:val="00D60D0C"/>
    <w:rsid w:val="00D62AB8"/>
    <w:rsid w:val="00D62E4D"/>
    <w:rsid w:val="00D7372B"/>
    <w:rsid w:val="00D74DFA"/>
    <w:rsid w:val="00D8000F"/>
    <w:rsid w:val="00D90C71"/>
    <w:rsid w:val="00D9199A"/>
    <w:rsid w:val="00D94517"/>
    <w:rsid w:val="00D94B0E"/>
    <w:rsid w:val="00D94B70"/>
    <w:rsid w:val="00D955EE"/>
    <w:rsid w:val="00DA7FCB"/>
    <w:rsid w:val="00DB110E"/>
    <w:rsid w:val="00DB1D99"/>
    <w:rsid w:val="00DC7FA8"/>
    <w:rsid w:val="00DD2DD2"/>
    <w:rsid w:val="00DD2FCB"/>
    <w:rsid w:val="00DD44E6"/>
    <w:rsid w:val="00DE25CC"/>
    <w:rsid w:val="00DE483F"/>
    <w:rsid w:val="00DE6BCC"/>
    <w:rsid w:val="00DF1C33"/>
    <w:rsid w:val="00DF2342"/>
    <w:rsid w:val="00DF5269"/>
    <w:rsid w:val="00DF573B"/>
    <w:rsid w:val="00DF5CF3"/>
    <w:rsid w:val="00DF638B"/>
    <w:rsid w:val="00DF721A"/>
    <w:rsid w:val="00E00733"/>
    <w:rsid w:val="00E04124"/>
    <w:rsid w:val="00E04E59"/>
    <w:rsid w:val="00E06999"/>
    <w:rsid w:val="00E072ED"/>
    <w:rsid w:val="00E10F72"/>
    <w:rsid w:val="00E1671D"/>
    <w:rsid w:val="00E206E4"/>
    <w:rsid w:val="00E20C7A"/>
    <w:rsid w:val="00E24109"/>
    <w:rsid w:val="00E30A61"/>
    <w:rsid w:val="00E348C9"/>
    <w:rsid w:val="00E34A2D"/>
    <w:rsid w:val="00E449A0"/>
    <w:rsid w:val="00E45627"/>
    <w:rsid w:val="00E458EA"/>
    <w:rsid w:val="00E50AB2"/>
    <w:rsid w:val="00E573F4"/>
    <w:rsid w:val="00E60D1C"/>
    <w:rsid w:val="00E62031"/>
    <w:rsid w:val="00E7168E"/>
    <w:rsid w:val="00E71759"/>
    <w:rsid w:val="00E8658F"/>
    <w:rsid w:val="00E86DF7"/>
    <w:rsid w:val="00E93258"/>
    <w:rsid w:val="00E936EB"/>
    <w:rsid w:val="00E96B7F"/>
    <w:rsid w:val="00EA4486"/>
    <w:rsid w:val="00EA5938"/>
    <w:rsid w:val="00EA59FA"/>
    <w:rsid w:val="00EB2243"/>
    <w:rsid w:val="00EB3886"/>
    <w:rsid w:val="00EB6424"/>
    <w:rsid w:val="00EC12A8"/>
    <w:rsid w:val="00EC3C05"/>
    <w:rsid w:val="00ED27E5"/>
    <w:rsid w:val="00ED3783"/>
    <w:rsid w:val="00ED3C04"/>
    <w:rsid w:val="00ED3D49"/>
    <w:rsid w:val="00ED7E75"/>
    <w:rsid w:val="00EE489C"/>
    <w:rsid w:val="00EE792C"/>
    <w:rsid w:val="00F04D55"/>
    <w:rsid w:val="00F06172"/>
    <w:rsid w:val="00F06F57"/>
    <w:rsid w:val="00F12AF1"/>
    <w:rsid w:val="00F13A58"/>
    <w:rsid w:val="00F16299"/>
    <w:rsid w:val="00F208B1"/>
    <w:rsid w:val="00F2407D"/>
    <w:rsid w:val="00F243F6"/>
    <w:rsid w:val="00F30628"/>
    <w:rsid w:val="00F310FB"/>
    <w:rsid w:val="00F33D86"/>
    <w:rsid w:val="00F3412D"/>
    <w:rsid w:val="00F376B1"/>
    <w:rsid w:val="00F5553B"/>
    <w:rsid w:val="00F61794"/>
    <w:rsid w:val="00F66533"/>
    <w:rsid w:val="00F77DF4"/>
    <w:rsid w:val="00F85D96"/>
    <w:rsid w:val="00F865A4"/>
    <w:rsid w:val="00F8673A"/>
    <w:rsid w:val="00F9774A"/>
    <w:rsid w:val="00FA2E27"/>
    <w:rsid w:val="00FA4849"/>
    <w:rsid w:val="00FA6464"/>
    <w:rsid w:val="00FB18E7"/>
    <w:rsid w:val="00FB1D8E"/>
    <w:rsid w:val="00FB5AC7"/>
    <w:rsid w:val="00FB60C6"/>
    <w:rsid w:val="00FB6AC7"/>
    <w:rsid w:val="00FC2667"/>
    <w:rsid w:val="00FC445F"/>
    <w:rsid w:val="00FC5998"/>
    <w:rsid w:val="00FD78D0"/>
    <w:rsid w:val="00FE0F4D"/>
    <w:rsid w:val="00FE3D4A"/>
    <w:rsid w:val="00FE4648"/>
    <w:rsid w:val="00FE73EF"/>
    <w:rsid w:val="00FF0E0D"/>
    <w:rsid w:val="00FF4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CD297"/>
  <w15:docId w15:val="{6E1FEE37-D162-4DD3-8001-47CDFF0F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rFonts w:ascii="Arial" w:hAnsi="Arial"/>
      <w:sz w:val="18"/>
      <w:lang w:val="en-CA"/>
    </w:rPr>
  </w:style>
  <w:style w:type="paragraph" w:styleId="Heading1">
    <w:name w:val="heading 1"/>
    <w:basedOn w:val="Normal"/>
    <w:next w:val="Normal"/>
    <w:qFormat/>
    <w:pPr>
      <w:keepNext/>
      <w:widowControl w:val="0"/>
      <w:numPr>
        <w:numId w:val="25"/>
      </w:numPr>
      <w:outlineLvl w:val="0"/>
    </w:pPr>
    <w:rPr>
      <w:caps/>
    </w:rPr>
  </w:style>
  <w:style w:type="paragraph" w:styleId="Heading2">
    <w:name w:val="heading 2"/>
    <w:basedOn w:val="Heading1"/>
    <w:next w:val="Normal"/>
    <w:link w:val="Heading2Char"/>
    <w:qFormat/>
    <w:pPr>
      <w:keepLines/>
      <w:numPr>
        <w:ilvl w:val="1"/>
      </w:numPr>
      <w:outlineLvl w:val="1"/>
    </w:pPr>
    <w:rPr>
      <w:caps w:val="0"/>
    </w:rPr>
  </w:style>
  <w:style w:type="paragraph" w:styleId="Heading3">
    <w:name w:val="heading 3"/>
    <w:basedOn w:val="Heading2"/>
    <w:next w:val="Normal"/>
    <w:qFormat/>
    <w:pPr>
      <w:numPr>
        <w:ilvl w:val="2"/>
      </w:numPr>
      <w:outlineLvl w:val="2"/>
    </w:pPr>
  </w:style>
  <w:style w:type="paragraph" w:styleId="Heading4">
    <w:name w:val="heading 4"/>
    <w:basedOn w:val="Heading3"/>
    <w:next w:val="Normal"/>
    <w:qFormat/>
    <w:pPr>
      <w:numPr>
        <w:ilvl w:val="3"/>
      </w:numPr>
      <w:spacing w:before="240"/>
      <w:outlineLvl w:val="3"/>
    </w:pPr>
    <w:rPr>
      <w:i/>
    </w:rPr>
  </w:style>
  <w:style w:type="paragraph" w:styleId="Heading5">
    <w:name w:val="heading 5"/>
    <w:basedOn w:val="Heading4"/>
    <w:next w:val="Normal"/>
    <w:qFormat/>
    <w:pPr>
      <w:numPr>
        <w:ilvl w:val="4"/>
      </w:numPr>
      <w:outlineLvl w:val="4"/>
    </w:pPr>
  </w:style>
  <w:style w:type="paragraph" w:styleId="Heading6">
    <w:name w:val="heading 6"/>
    <w:basedOn w:val="Normal"/>
    <w:next w:val="Normal"/>
    <w:qFormat/>
    <w:pPr>
      <w:keepNext/>
      <w:numPr>
        <w:ilvl w:val="5"/>
        <w:numId w:val="25"/>
      </w:numPr>
      <w:spacing w:before="60"/>
      <w:outlineLvl w:val="5"/>
    </w:pPr>
    <w:rPr>
      <w:sz w:val="20"/>
      <w:lang w:val="en-GB"/>
    </w:rPr>
  </w:style>
  <w:style w:type="paragraph" w:styleId="Heading7">
    <w:name w:val="heading 7"/>
    <w:basedOn w:val="Normal"/>
    <w:next w:val="Normal"/>
    <w:qFormat/>
    <w:pPr>
      <w:numPr>
        <w:ilvl w:val="6"/>
        <w:numId w:val="25"/>
      </w:numPr>
      <w:spacing w:before="240" w:after="60"/>
      <w:outlineLvl w:val="6"/>
    </w:pPr>
    <w:rPr>
      <w:sz w:val="16"/>
      <w:lang w:val="en-GB"/>
    </w:rPr>
  </w:style>
  <w:style w:type="paragraph" w:styleId="Heading8">
    <w:name w:val="heading 8"/>
    <w:basedOn w:val="Normal"/>
    <w:next w:val="Normal"/>
    <w:qFormat/>
    <w:pPr>
      <w:numPr>
        <w:ilvl w:val="7"/>
        <w:numId w:val="25"/>
      </w:numPr>
      <w:tabs>
        <w:tab w:val="left" w:pos="1080"/>
      </w:tabs>
      <w:spacing w:before="240"/>
      <w:outlineLvl w:val="7"/>
    </w:pPr>
    <w:rPr>
      <w:sz w:val="16"/>
      <w:lang w:val="en-GB"/>
    </w:rPr>
  </w:style>
  <w:style w:type="paragraph" w:styleId="Heading9">
    <w:name w:val="heading 9"/>
    <w:basedOn w:val="Heading8"/>
    <w:next w:val="Normal"/>
    <w:qFormat/>
    <w:pPr>
      <w:keepNext/>
      <w:pageBreakBefore/>
      <w:numPr>
        <w:ilvl w:val="8"/>
      </w:numPr>
      <w:tabs>
        <w:tab w:val="left"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Source">
    <w:name w:val="References Source"/>
    <w:basedOn w:val="References"/>
    <w:rPr>
      <w:i/>
      <w:iCs/>
    </w:rPr>
  </w:style>
  <w:style w:type="paragraph" w:styleId="Footer">
    <w:name w:val="footer"/>
    <w:basedOn w:val="Normal"/>
    <w:link w:val="FooterChar"/>
    <w:semiHidden/>
    <w:pPr>
      <w:tabs>
        <w:tab w:val="right" w:pos="7560"/>
      </w:tabs>
    </w:pPr>
  </w:style>
  <w:style w:type="character" w:customStyle="1" w:styleId="ReferencesChar">
    <w:name w:val="References Char"/>
    <w:basedOn w:val="DefaultParagraphFont"/>
    <w:rPr>
      <w:rFonts w:ascii="Arial" w:hAnsi="Arial"/>
      <w:sz w:val="18"/>
      <w:lang w:val="en-US" w:eastAsia="en-US" w:bidi="ar-SA"/>
    </w:rPr>
  </w:style>
  <w:style w:type="paragraph" w:customStyle="1" w:styleId="PaperTitle">
    <w:name w:val="Paper Title"/>
    <w:basedOn w:val="Normal"/>
    <w:next w:val="AuthorNames"/>
    <w:pPr>
      <w:spacing w:after="240"/>
      <w:jc w:val="left"/>
    </w:pPr>
    <w:rPr>
      <w:b/>
      <w:caps/>
      <w:sz w:val="28"/>
    </w:rPr>
  </w:style>
  <w:style w:type="paragraph" w:customStyle="1" w:styleId="AuthorNames">
    <w:name w:val="Author Names"/>
    <w:basedOn w:val="Normal"/>
    <w:next w:val="Abstract"/>
    <w:pPr>
      <w:keepLines/>
      <w:jc w:val="left"/>
    </w:pPr>
    <w:rPr>
      <w:sz w:val="20"/>
    </w:rPr>
  </w:style>
  <w:style w:type="paragraph" w:customStyle="1" w:styleId="Abstract">
    <w:name w:val="Abstract"/>
    <w:basedOn w:val="Normal"/>
    <w:next w:val="Normal"/>
    <w:pPr>
      <w:keepNext/>
    </w:pPr>
  </w:style>
  <w:style w:type="character" w:customStyle="1" w:styleId="ReferencesSourceChar">
    <w:name w:val="References Source Char"/>
    <w:basedOn w:val="ReferencesChar"/>
    <w:rPr>
      <w:rFonts w:ascii="Arial" w:hAnsi="Arial"/>
      <w:i/>
      <w:iCs/>
      <w:sz w:val="18"/>
      <w:lang w:val="en-US" w:eastAsia="en-US" w:bidi="ar-SA"/>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semiHidden/>
    <w:pPr>
      <w:tabs>
        <w:tab w:val="center" w:pos="4320"/>
        <w:tab w:val="right" w:pos="8640"/>
      </w:tabs>
    </w:pPr>
  </w:style>
  <w:style w:type="paragraph" w:customStyle="1" w:styleId="Spacer">
    <w:name w:val="Spacer"/>
    <w:basedOn w:val="Normal"/>
    <w:pPr>
      <w:spacing w:after="1140"/>
    </w:pPr>
  </w:style>
  <w:style w:type="paragraph" w:styleId="BalloonText">
    <w:name w:val="Balloon Text"/>
    <w:basedOn w:val="Normal"/>
    <w:semiHidden/>
    <w:rPr>
      <w:rFonts w:ascii="Tahoma" w:hAnsi="Tahoma" w:cs="Tahoma"/>
      <w:sz w:val="16"/>
      <w:szCs w:val="16"/>
    </w:rPr>
  </w:style>
  <w:style w:type="paragraph" w:customStyle="1" w:styleId="HeadingNoNumber">
    <w:name w:val="Heading NoNumber"/>
    <w:basedOn w:val="Normal"/>
    <w:rPr>
      <w:caps/>
    </w:rPr>
  </w:style>
  <w:style w:type="paragraph" w:customStyle="1" w:styleId="AuthorAffliation">
    <w:name w:val="Author Affliation"/>
    <w:basedOn w:val="AuthorNames"/>
    <w:rPr>
      <w:i/>
      <w:lang w:val="en-US"/>
    </w:rPr>
  </w:style>
  <w:style w:type="paragraph" w:styleId="BodyText">
    <w:name w:val="Body Text"/>
    <w:basedOn w:val="Normal"/>
    <w:semiHidden/>
    <w:pPr>
      <w:overflowPunct/>
      <w:autoSpaceDE/>
      <w:autoSpaceDN/>
      <w:adjustRightInd/>
      <w:textAlignment w:val="auto"/>
    </w:pPr>
    <w:rPr>
      <w:snapToGrid w:val="0"/>
      <w:lang w:val="fr-CA" w:eastAsia="fr-FR"/>
    </w:rPr>
  </w:style>
  <w:style w:type="paragraph" w:customStyle="1" w:styleId="References">
    <w:name w:val="References"/>
    <w:basedOn w:val="Normal"/>
    <w:rsid w:val="00686220"/>
    <w:pPr>
      <w:keepLines/>
      <w:ind w:left="284" w:hanging="284"/>
    </w:pPr>
    <w:rPr>
      <w:lang w:val="en-US"/>
    </w:rPr>
  </w:style>
  <w:style w:type="character" w:styleId="Hyperlink">
    <w:name w:val="Hyperlink"/>
    <w:basedOn w:val="DefaultParagraphFont"/>
    <w:semiHidden/>
    <w:rPr>
      <w:color w:val="0000FF"/>
      <w:u w:val="single"/>
    </w:rPr>
  </w:style>
  <w:style w:type="paragraph" w:styleId="BodyTextIndent3">
    <w:name w:val="Body Text Indent 3"/>
    <w:basedOn w:val="Normal"/>
    <w:semiHidden/>
    <w:pPr>
      <w:spacing w:after="120"/>
      <w:ind w:left="360"/>
    </w:pPr>
    <w:rPr>
      <w:sz w:val="16"/>
      <w:szCs w:val="16"/>
    </w:rPr>
  </w:style>
  <w:style w:type="character" w:styleId="PageNumber">
    <w:name w:val="page number"/>
    <w:basedOn w:val="DefaultParagraphFont"/>
    <w:semiHidden/>
  </w:style>
  <w:style w:type="paragraph" w:customStyle="1" w:styleId="Main">
    <w:name w:val="Main"/>
    <w:basedOn w:val="Normal"/>
    <w:rPr>
      <w:lang w:val="en-GB"/>
    </w:rPr>
  </w:style>
  <w:style w:type="character" w:customStyle="1" w:styleId="EmailStyle34">
    <w:name w:val="EmailStyle34"/>
    <w:basedOn w:val="DefaultParagraphFont"/>
    <w:rPr>
      <w:rFonts w:ascii="Arial" w:hAnsi="Arial" w:cs="Arial"/>
      <w:color w:val="000080"/>
      <w:sz w:val="20"/>
    </w:rPr>
  </w:style>
  <w:style w:type="character" w:styleId="FollowedHyperlink">
    <w:name w:val="FollowedHyperlink"/>
    <w:basedOn w:val="DefaultParagraphFont"/>
    <w:semiHidden/>
    <w:rPr>
      <w:color w:val="800080"/>
      <w:u w:val="single"/>
    </w:rPr>
  </w:style>
  <w:style w:type="character" w:styleId="CommentReference">
    <w:name w:val="annotation reference"/>
    <w:basedOn w:val="DefaultParagraphFont"/>
    <w:uiPriority w:val="99"/>
    <w:semiHidden/>
    <w:unhideWhenUsed/>
    <w:rsid w:val="00B933D0"/>
    <w:rPr>
      <w:sz w:val="16"/>
      <w:szCs w:val="16"/>
    </w:rPr>
  </w:style>
  <w:style w:type="paragraph" w:customStyle="1" w:styleId="Paragraph-First">
    <w:name w:val="Paragraph-First"/>
    <w:basedOn w:val="Normal"/>
    <w:next w:val="Paragraph-regular"/>
    <w:rPr>
      <w:lang w:val="en-US"/>
    </w:rPr>
  </w:style>
  <w:style w:type="paragraph" w:styleId="NormalIndent">
    <w:name w:val="Normal Indent"/>
    <w:basedOn w:val="Normal"/>
    <w:semiHidden/>
    <w:pPr>
      <w:ind w:left="720"/>
    </w:pPr>
  </w:style>
  <w:style w:type="paragraph" w:customStyle="1" w:styleId="Paragraph-regular">
    <w:name w:val="Paragraph-regular"/>
    <w:basedOn w:val="Normal"/>
    <w:link w:val="Paragraph-regularChar"/>
    <w:pPr>
      <w:ind w:firstLine="284"/>
    </w:pPr>
    <w:rPr>
      <w:snapToGrid w:val="0"/>
      <w:lang w:val="en-US" w:eastAsia="fr-FR"/>
    </w:rPr>
  </w:style>
  <w:style w:type="paragraph" w:styleId="CommentText">
    <w:name w:val="annotation text"/>
    <w:basedOn w:val="Normal"/>
    <w:link w:val="CommentTextChar"/>
    <w:uiPriority w:val="99"/>
    <w:unhideWhenUsed/>
    <w:rsid w:val="00B933D0"/>
    <w:rPr>
      <w:sz w:val="20"/>
    </w:rPr>
  </w:style>
  <w:style w:type="character" w:customStyle="1" w:styleId="CommentTextChar">
    <w:name w:val="Comment Text Char"/>
    <w:basedOn w:val="DefaultParagraphFont"/>
    <w:link w:val="CommentText"/>
    <w:uiPriority w:val="99"/>
    <w:rsid w:val="00B933D0"/>
    <w:rPr>
      <w:rFonts w:ascii="Arial" w:hAnsi="Arial"/>
      <w:lang w:val="en-CA"/>
    </w:rPr>
  </w:style>
  <w:style w:type="paragraph" w:styleId="CommentSubject">
    <w:name w:val="annotation subject"/>
    <w:basedOn w:val="CommentText"/>
    <w:next w:val="CommentText"/>
    <w:link w:val="CommentSubjectChar"/>
    <w:uiPriority w:val="99"/>
    <w:semiHidden/>
    <w:unhideWhenUsed/>
    <w:rsid w:val="00B933D0"/>
    <w:rPr>
      <w:b/>
      <w:bCs/>
    </w:rPr>
  </w:style>
  <w:style w:type="character" w:customStyle="1" w:styleId="CommentSubjectChar">
    <w:name w:val="Comment Subject Char"/>
    <w:basedOn w:val="CommentTextChar"/>
    <w:link w:val="CommentSubject"/>
    <w:uiPriority w:val="99"/>
    <w:semiHidden/>
    <w:rsid w:val="00B933D0"/>
    <w:rPr>
      <w:rFonts w:ascii="Arial" w:hAnsi="Arial"/>
      <w:b/>
      <w:bCs/>
      <w:lang w:val="en-CA"/>
    </w:rPr>
  </w:style>
  <w:style w:type="paragraph" w:customStyle="1" w:styleId="Paragraph-indented">
    <w:name w:val="Paragraph-indented"/>
    <w:basedOn w:val="Paragraph-regular"/>
    <w:link w:val="Paragraph-indentedChar"/>
    <w:qFormat/>
    <w:rsid w:val="001377E1"/>
  </w:style>
  <w:style w:type="character" w:customStyle="1" w:styleId="Heading2Char">
    <w:name w:val="Heading 2 Char"/>
    <w:basedOn w:val="DefaultParagraphFont"/>
    <w:link w:val="Heading2"/>
    <w:rsid w:val="00A61271"/>
    <w:rPr>
      <w:rFonts w:ascii="Arial" w:hAnsi="Arial"/>
      <w:sz w:val="18"/>
      <w:lang w:val="en-CA"/>
    </w:rPr>
  </w:style>
  <w:style w:type="character" w:customStyle="1" w:styleId="Paragraph-regularChar">
    <w:name w:val="Paragraph-regular Char"/>
    <w:basedOn w:val="DefaultParagraphFont"/>
    <w:link w:val="Paragraph-regular"/>
    <w:rsid w:val="001377E1"/>
    <w:rPr>
      <w:rFonts w:ascii="Arial" w:hAnsi="Arial"/>
      <w:snapToGrid w:val="0"/>
      <w:sz w:val="18"/>
      <w:lang w:eastAsia="fr-FR"/>
    </w:rPr>
  </w:style>
  <w:style w:type="character" w:customStyle="1" w:styleId="Paragraph-indentedChar">
    <w:name w:val="Paragraph-indented Char"/>
    <w:basedOn w:val="Paragraph-regularChar"/>
    <w:link w:val="Paragraph-indented"/>
    <w:rsid w:val="001377E1"/>
    <w:rPr>
      <w:rFonts w:ascii="Arial" w:hAnsi="Arial"/>
      <w:snapToGrid w:val="0"/>
      <w:sz w:val="18"/>
      <w:lang w:eastAsia="fr-FR"/>
    </w:rPr>
  </w:style>
  <w:style w:type="character" w:customStyle="1" w:styleId="FooterChar">
    <w:name w:val="Footer Char"/>
    <w:basedOn w:val="DefaultParagraphFont"/>
    <w:link w:val="Footer"/>
    <w:semiHidden/>
    <w:rsid w:val="00A61271"/>
    <w:rPr>
      <w:rFonts w:ascii="Arial" w:hAnsi="Arial"/>
      <w:sz w:val="18"/>
      <w:lang w:val="en-CA"/>
    </w:rPr>
  </w:style>
  <w:style w:type="character" w:styleId="UnresolvedMention">
    <w:name w:val="Unresolved Mention"/>
    <w:basedOn w:val="DefaultParagraphFont"/>
    <w:uiPriority w:val="99"/>
    <w:semiHidden/>
    <w:unhideWhenUsed/>
    <w:rsid w:val="00102E79"/>
    <w:rPr>
      <w:color w:val="808080"/>
      <w:shd w:val="clear" w:color="auto" w:fill="E6E6E6"/>
    </w:rPr>
  </w:style>
  <w:style w:type="table" w:styleId="TableGrid">
    <w:name w:val="Table Grid"/>
    <w:basedOn w:val="TableNormal"/>
    <w:uiPriority w:val="39"/>
    <w:rsid w:val="00A8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47E5"/>
    <w:pPr>
      <w:overflowPunct/>
      <w:autoSpaceDE/>
      <w:autoSpaceDN/>
      <w:adjustRightInd/>
      <w:spacing w:after="160" w:line="259" w:lineRule="auto"/>
      <w:ind w:left="720"/>
      <w:contextualSpacing/>
      <w:jc w:val="left"/>
      <w:textAlignment w:val="auto"/>
    </w:pPr>
    <w:rPr>
      <w:rFonts w:asciiTheme="minorHAnsi" w:eastAsiaTheme="minorHAnsi" w:hAnsiTheme="minorHAnsi" w:cstheme="minorBidi"/>
      <w:kern w:val="2"/>
      <w:sz w:val="22"/>
      <w:szCs w:val="22"/>
      <w14:ligatures w14:val="standardContextual"/>
    </w:rPr>
  </w:style>
  <w:style w:type="paragraph" w:customStyle="1" w:styleId="APrimerPrrafo">
    <w:name w:val="A_Primer Párrafo"/>
    <w:basedOn w:val="NoSpacing"/>
    <w:qFormat/>
    <w:rsid w:val="00D135A7"/>
    <w:pPr>
      <w:overflowPunct/>
      <w:autoSpaceDE/>
      <w:autoSpaceDN/>
      <w:adjustRightInd/>
      <w:spacing w:line="220" w:lineRule="exact"/>
      <w:textAlignment w:val="auto"/>
    </w:pPr>
    <w:rPr>
      <w:rFonts w:eastAsiaTheme="minorHAnsi" w:cstheme="minorBidi"/>
      <w:sz w:val="19"/>
      <w:szCs w:val="22"/>
      <w:lang w:val="es-MX"/>
    </w:rPr>
  </w:style>
  <w:style w:type="paragraph" w:styleId="NoSpacing">
    <w:name w:val="No Spacing"/>
    <w:uiPriority w:val="1"/>
    <w:qFormat/>
    <w:rsid w:val="00D135A7"/>
    <w:pPr>
      <w:overflowPunct w:val="0"/>
      <w:autoSpaceDE w:val="0"/>
      <w:autoSpaceDN w:val="0"/>
      <w:adjustRightInd w:val="0"/>
      <w:jc w:val="both"/>
      <w:textAlignment w:val="baseline"/>
    </w:pPr>
    <w:rPr>
      <w:rFonts w:ascii="Arial" w:hAnsi="Arial"/>
      <w:sz w:val="18"/>
      <w:lang w:val="en-CA"/>
    </w:rPr>
  </w:style>
  <w:style w:type="paragraph" w:customStyle="1" w:styleId="APrrafossubsecuentes">
    <w:name w:val="A_Párrafos subsecuentes"/>
    <w:basedOn w:val="APrimerPrrafo"/>
    <w:qFormat/>
    <w:rsid w:val="00C02678"/>
    <w:pPr>
      <w:ind w:firstLine="227"/>
    </w:pPr>
  </w:style>
  <w:style w:type="paragraph" w:customStyle="1" w:styleId="ATtulodeFigura">
    <w:name w:val="A_Título de Figura"/>
    <w:basedOn w:val="APrimerPrrafo"/>
    <w:qFormat/>
    <w:rsid w:val="00F376B1"/>
    <w:pPr>
      <w:spacing w:after="200"/>
    </w:pPr>
    <w:rPr>
      <w:b/>
      <w:sz w:val="16"/>
      <w:lang w:val="es-ES"/>
    </w:rPr>
  </w:style>
  <w:style w:type="paragraph" w:customStyle="1" w:styleId="AReferencias">
    <w:name w:val="A_Referencias"/>
    <w:basedOn w:val="APrimerPrrafo"/>
    <w:qFormat/>
    <w:rsid w:val="00677949"/>
    <w:pPr>
      <w:ind w:left="227" w:hanging="227"/>
    </w:pPr>
  </w:style>
  <w:style w:type="table" w:customStyle="1" w:styleId="SRKTable1">
    <w:name w:val="±SRK_Table1"/>
    <w:basedOn w:val="TableNormal"/>
    <w:uiPriority w:val="99"/>
    <w:rsid w:val="00A10B77"/>
    <w:rPr>
      <w:rFonts w:asciiTheme="minorHAnsi" w:eastAsiaTheme="minorHAnsi" w:hAnsiTheme="minorHAnsi" w:cstheme="minorBidi"/>
      <w:color w:val="000000" w:themeColor="text1"/>
      <w:sz w:val="18"/>
      <w:lang w:val="en-GB"/>
    </w:rPr>
    <w:tblPr>
      <w:tblStyleRowBandSize w:val="1"/>
      <w:tblStyleColBandSize w:val="1"/>
      <w:tblBorders>
        <w:top w:val="single" w:sz="12" w:space="0" w:color="000000"/>
        <w:bottom w:val="single" w:sz="12" w:space="0" w:color="000000"/>
      </w:tblBorders>
      <w:tblCellMar>
        <w:top w:w="57" w:type="dxa"/>
        <w:left w:w="57" w:type="dxa"/>
        <w:bottom w:w="57" w:type="dxa"/>
        <w:right w:w="57" w:type="dxa"/>
      </w:tblCellMar>
    </w:tblPr>
    <w:tblStylePr w:type="firstRow">
      <w:rPr>
        <w:b/>
      </w:rPr>
      <w:tblPr/>
      <w:trPr>
        <w:tblHeader/>
      </w:trPr>
      <w:tcPr>
        <w:tcBorders>
          <w:top w:val="single" w:sz="12" w:space="0" w:color="000000"/>
          <w:left w:val="nil"/>
          <w:bottom w:val="single" w:sz="4" w:space="0" w:color="000000"/>
          <w:right w:val="nil"/>
          <w:insideH w:val="nil"/>
          <w:insideV w:val="nil"/>
          <w:tl2br w:val="nil"/>
          <w:tr2bl w:val="nil"/>
        </w:tcBorders>
      </w:tcPr>
    </w:tblStylePr>
    <w:tblStylePr w:type="lastRow">
      <w:tblPr/>
      <w:tcPr>
        <w:tcBorders>
          <w:top w:val="single" w:sz="4" w:space="0" w:color="000000"/>
          <w:left w:val="nil"/>
          <w:bottom w:val="single" w:sz="12" w:space="0" w:color="000000"/>
          <w:right w:val="nil"/>
          <w:insideH w:val="nil"/>
          <w:insideV w:val="nil"/>
          <w:tl2br w:val="nil"/>
          <w:tr2bl w:val="nil"/>
        </w:tcBorders>
      </w:tcPr>
    </w:tblStylePr>
    <w:tblStylePr w:type="firstCol">
      <w:rPr>
        <w:b/>
      </w:rPr>
    </w:tblStylePr>
    <w:tblStylePr w:type="lastCol">
      <w:rPr>
        <w:b/>
      </w:rPr>
    </w:tblStylePr>
    <w:tblStylePr w:type="band1Horz">
      <w:tblPr/>
      <w:tcPr>
        <w:tcBorders>
          <w:top w:val="single" w:sz="4" w:space="0" w:color="000000"/>
          <w:left w:val="nil"/>
          <w:bottom w:val="single" w:sz="4" w:space="0" w:color="000000"/>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GridTable1Light1">
    <w:name w:val="Grid Table 1 Light1"/>
    <w:basedOn w:val="TableNormal"/>
    <w:next w:val="GridTable1Light"/>
    <w:uiPriority w:val="46"/>
    <w:rsid w:val="00C9291C"/>
    <w:pPr>
      <w:spacing w:before="180"/>
    </w:pPr>
    <w:rPr>
      <w:rFonts w:ascii="Arial" w:eastAsia="Arial" w:hAnsi="Arial"/>
      <w:color w:val="000000"/>
      <w:lang w:val="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C9291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BodyText"/>
    <w:next w:val="BodyText"/>
    <w:qFormat/>
    <w:rsid w:val="00F13A58"/>
    <w:pPr>
      <w:spacing w:before="180" w:line="264" w:lineRule="auto"/>
      <w:jc w:val="left"/>
    </w:pPr>
    <w:rPr>
      <w:rFonts w:eastAsiaTheme="minorHAnsi" w:cstheme="minorBidi"/>
      <w:snapToGrid/>
      <w:color w:val="000000" w:themeColor="text1"/>
      <w:kern w:val="2"/>
      <w:sz w:val="20"/>
      <w:szCs w:val="22"/>
      <w:lang w:val="en-CA"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006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Bra07</b:Tag>
    <b:SourceType>JournalArticle</b:SourceType>
    <b:Guid>{79D3CE21-E62E-FE49-BBB2-D8E677B1800A}</b:Guid>
    <b:Author>
      <b:Author>
        <b:NameList>
          <b:Person>
            <b:Last>Bray</b:Last>
            <b:First>J.</b:First>
            <b:Middle>D., and Travasarou, T.</b:Middle>
          </b:Person>
        </b:NameList>
      </b:Author>
    </b:Author>
    <b:Title>Simplified procedure for estimating earthquake-induced deviatoric slope displacements. </b:Title>
    <b:JournalName>J. Geotech. Geoenviron. Eng. </b:JournalName>
    <b:Year>2007</b:Year>
    <b:Pages>133(4), 381–392</b:Pages>
    <b:RefOrder>1</b:RefOrder>
  </b:Source>
  <b:Source>
    <b:Tag>Bra092</b:Tag>
    <b:SourceType>JournalArticle</b:SourceType>
    <b:Guid>{D0973463-2E32-D042-9C92-85C4572B8E64}</b:Guid>
    <b:Author>
      <b:Author>
        <b:NameList>
          <b:Person>
            <b:Last>Bray</b:Last>
            <b:First>J.D.</b:First>
            <b:Middle>and Travasarou, T.</b:Middle>
          </b:Person>
        </b:NameList>
      </b:Author>
    </b:Author>
    <b:Title>Pseudostatic coefficient for use in simplified seismic slope stability evaluation.</b:Title>
    <b:JournalName>J. Geotech. Geoenviron. Eng.</b:JournalName>
    <b:Year>2009</b:Year>
    <b:Pages>135(9),1336-1340</b:Pages>
    <b:RefOrder>2</b:RefOrder>
  </b:Source>
  <b:Source>
    <b:Tag>Bra981</b:Tag>
    <b:SourceType>JournalArticle</b:SourceType>
    <b:Guid>{B3E2FFFF-8A23-EF4D-B3E4-FF967AB68FED}</b:Guid>
    <b:Author>
      <b:Author>
        <b:NameList>
          <b:Person>
            <b:Last>Bray</b:Last>
            <b:First>J.D.,</b:First>
            <b:Middle>and Rathje, E.R.</b:Middle>
          </b:Person>
        </b:NameList>
      </b:Author>
    </b:Author>
    <b:Title>Earthquake-induced displacements of solid-waste landfills. </b:Title>
    <b:JournalName>J. Geotech. Geoenviron. Eng.</b:JournalName>
    <b:Year>1998</b:Year>
    <b:Pages>242–253</b:Pages>
    <b:RefOrder>3</b:RefOrder>
  </b:Source>
  <b:Source>
    <b:Tag>Bra09</b:Tag>
    <b:SourceType>JournalArticle</b:SourceType>
    <b:Guid>{07DED579-BD39-8647-BEBE-750556789342}</b:Guid>
    <b:Title>Pseudostatic coefficient for use in simplified seismic slope stability evaluation</b:Title>
    <b:JournalName>Journal of geotechnical and geoenvironmental engineering</b:JournalName>
    <b:Year>2009</b:Year>
    <b:Pages>1336-1340</b:Pages>
    <b:Volume>135</b:Volume>
    <b:Issue>9</b:Issue>
    <b:Author>
      <b:Author>
        <b:NameList>
          <b:Person>
            <b:Last>Bray</b:Last>
            <b:First>J.</b:First>
            <b:Middle>D</b:Middle>
          </b:Person>
          <b:Person>
            <b:Last>Travasarou</b:Last>
            <b:First>T.</b:First>
          </b:Person>
        </b:NameList>
      </b:Author>
    </b:Author>
    <b:Publisher>American Society of Civil Engineer</b:Publisher>
    <b:RefOrder>4</b:RefOrder>
  </b:Source>
  <b:Source>
    <b:Tag>Bra98</b:Tag>
    <b:SourceType>JournalArticle</b:SourceType>
    <b:Guid>{8FC826BE-6547-0044-A3F0-0A9B60BE0EFB}</b:Guid>
    <b:Author>
      <b:Author>
        <b:NameList>
          <b:Person>
            <b:Last>Bray</b:Last>
            <b:First>J.</b:First>
            <b:Middle>D., Rathje, E. M., Augello, A. J., and Merry, S.M.</b:Middle>
          </b:Person>
        </b:NameList>
      </b:Author>
    </b:Author>
    <b:Title>Simplified seismic design procedures for geosynthetic-lined, solid waste landfills</b:Title>
    <b:Year>1998</b:Year>
    <b:JournalName>Geosynthetics Int.</b:JournalName>
    <b:Pages>203–235</b:Pages>
    <b:RefOrder>5</b:RefOrder>
  </b:Source>
  <b:Source>
    <b:Tag>Bra18</b:Tag>
    <b:SourceType>JournalArticle</b:SourceType>
    <b:Guid>{4BEB469C-CD75-304F-A794-212C01B20A27}</b:Guid>
    <b:Author>
      <b:Author>
        <b:NameList>
          <b:Person>
            <b:Last>Bray</b:Last>
            <b:First>J.D.,</b:First>
            <b:Middle>Macedo, J., and Travasarou, T.</b:Middle>
          </b:Person>
        </b:NameList>
      </b:Author>
    </b:Author>
    <b:Title>Simplified procedure for estimating seismic slope displacements for subduction zone earthquakes.</b:Title>
    <b:JournalName>J. of Geotech. &amp; Geoenv. Eng. </b:JournalName>
    <b:Year>2018</b:Year>
    <b:RefOrder>6</b:RefOrder>
  </b:Source>
  <b:Source>
    <b:Tag>Bra19</b:Tag>
    <b:SourceType>JournalArticle</b:SourceType>
    <b:Guid>{9B45FFA7-1C6E-5544-8FEC-5724CEC428C1}</b:Guid>
    <b:Author>
      <b:Author>
        <b:NameList>
          <b:Person>
            <b:Last>Bray</b:Last>
            <b:First>J.D.</b:First>
            <b:Middle>and Macedo J.</b:Middle>
          </b:Person>
        </b:NameList>
      </b:Author>
    </b:Author>
    <b:Title>Procedure for Estimating Shear-Induced Seismic Slope Displacement for Shallow Crustal Earthquakes</b:Title>
    <b:JournalName>(In Press)</b:JournalName>
    <b:Year>2019</b:Year>
    <b:RefOrder>7</b:RefOrder>
  </b:Source>
  <b:Source>
    <b:Tag>Ste03</b:Tag>
    <b:SourceType>ArticleInAPeriodical</b:SourceType>
    <b:Guid>{EE566DE4-761F-434B-AA5D-A810F3F2F51B}</b:Guid>
    <b:Author>
      <b:Author>
        <b:NameList>
          <b:Person>
            <b:Last>Stewart</b:Last>
            <b:First>J.</b:First>
            <b:Middle>P., Liu, A. H., Choi, Y.</b:Middle>
          </b:Person>
        </b:NameList>
      </b:Author>
    </b:Author>
    <b:Title>Amplification factors for spectral acceleration in tectonically active regions</b:Title>
    <b:Year>2003</b:Year>
    <b:PeriodicalTitle>Bull. Seismol. Soc. Am.</b:PeriodicalTitle>
    <b:Volume>93</b:Volume>
    <b:Issue>1</b:Issue>
    <b:RefOrder>8</b:RefOrder>
  </b:Source>
  <b:Source>
    <b:Tag>GDa85</b:Tag>
    <b:SourceType>JournalArticle</b:SourceType>
    <b:Guid>{E4CF876C-0367-4F42-8670-F9DE59D24E0E}</b:Guid>
    <b:Author>
      <b:Author>
        <b:NameList>
          <b:Person>
            <b:Last>Dakoulas P. and Gazetas</b:Last>
            <b:First>G.</b:First>
          </b:Person>
        </b:NameList>
      </b:Author>
    </b:Author>
    <b:Title>A class of inhomogeneous shear models for seismic response of dams and embankments</b:Title>
    <b:Year>1985</b:Year>
    <b:Publisher>International Journal of Soil Dynamics and Earthquake Engineering</b:Publisher>
    <b:Volume>4</b:Volume>
    <b:Issue>4</b:Issue>
    <b:PeriodicalTitle>International Journal of Soil Dynamics and Earthquake Engineering</b:PeriodicalTitle>
    <b:RefOrder>9</b:RefOrder>
  </b:Source>
</b:Sources>
</file>

<file path=customXml/itemProps1.xml><?xml version="1.0" encoding="utf-8"?>
<ds:datastoreItem xmlns:ds="http://schemas.openxmlformats.org/officeDocument/2006/customXml" ds:itemID="{4F846562-546D-4B92-B9BC-8385C0FF2598}">
  <ds:schemaRefs>
    <ds:schemaRef ds:uri="http://schemas.openxmlformats.org/officeDocument/2006/bibliography"/>
  </ds:schemaRefs>
</ds:datastoreItem>
</file>

<file path=docMetadata/LabelInfo.xml><?xml version="1.0" encoding="utf-8"?>
<clbl:labelList xmlns:clbl="http://schemas.microsoft.com/office/2020/mipLabelMetadata">
  <clbl:label id="{c86799ae-4360-4de5-8ed6-fb4d739001eb}" enabled="0" method="" siteId="{c86799ae-4360-4de5-8ed6-fb4d739001eb}" removed="1"/>
</clbl:labelList>
</file>

<file path=docProps/app.xml><?xml version="1.0" encoding="utf-8"?>
<Properties xmlns="http://schemas.openxmlformats.org/officeDocument/2006/extended-properties" xmlns:vt="http://schemas.openxmlformats.org/officeDocument/2006/docPropsVTypes">
  <Template>Normal.dotm</Template>
  <TotalTime>2858</TotalTime>
  <Pages>6</Pages>
  <Words>12024</Words>
  <Characters>12024</Characters>
  <Application>Microsoft Office Word</Application>
  <DocSecurity>0</DocSecurity>
  <Lines>12024</Lines>
  <Paragraphs>12023</Paragraphs>
  <ScaleCrop>false</ScaleCrop>
  <HeadingPairs>
    <vt:vector size="2" baseType="variant">
      <vt:variant>
        <vt:lpstr>Title</vt:lpstr>
      </vt:variant>
      <vt:variant>
        <vt:i4>1</vt:i4>
      </vt:variant>
    </vt:vector>
  </HeadingPairs>
  <TitlesOfParts>
    <vt:vector size="1" baseType="lpstr">
      <vt:lpstr>MS Word Technical Paper Template</vt:lpstr>
    </vt:vector>
  </TitlesOfParts>
  <Company>O'Connor Associates</Company>
  <LinksUpToDate>false</LinksUpToDate>
  <CharactersWithSpaces>12025</CharactersWithSpaces>
  <SharedDoc>false</SharedDoc>
  <HLinks>
    <vt:vector size="30" baseType="variant">
      <vt:variant>
        <vt:i4>1769537</vt:i4>
      </vt:variant>
      <vt:variant>
        <vt:i4>15</vt:i4>
      </vt:variant>
      <vt:variant>
        <vt:i4>0</vt:i4>
      </vt:variant>
      <vt:variant>
        <vt:i4>5</vt:i4>
      </vt:variant>
      <vt:variant>
        <vt:lpwstr>http://www.geocalgary2010.ca/</vt:lpwstr>
      </vt:variant>
      <vt:variant>
        <vt:lpwstr/>
      </vt:variant>
      <vt:variant>
        <vt:i4>1769537</vt:i4>
      </vt:variant>
      <vt:variant>
        <vt:i4>12</vt:i4>
      </vt:variant>
      <vt:variant>
        <vt:i4>0</vt:i4>
      </vt:variant>
      <vt:variant>
        <vt:i4>5</vt:i4>
      </vt:variant>
      <vt:variant>
        <vt:lpwstr>http://www.geocalgary2010.ca/</vt:lpwstr>
      </vt:variant>
      <vt:variant>
        <vt:lpwstr/>
      </vt:variant>
      <vt:variant>
        <vt:i4>1769537</vt:i4>
      </vt:variant>
      <vt:variant>
        <vt:i4>6</vt:i4>
      </vt:variant>
      <vt:variant>
        <vt:i4>0</vt:i4>
      </vt:variant>
      <vt:variant>
        <vt:i4>5</vt:i4>
      </vt:variant>
      <vt:variant>
        <vt:lpwstr>http://www.geocalgary2010.ca/</vt:lpwstr>
      </vt:variant>
      <vt:variant>
        <vt:lpwstr/>
      </vt:variant>
      <vt:variant>
        <vt:i4>1769537</vt:i4>
      </vt:variant>
      <vt:variant>
        <vt:i4>3</vt:i4>
      </vt:variant>
      <vt:variant>
        <vt:i4>0</vt:i4>
      </vt:variant>
      <vt:variant>
        <vt:i4>5</vt:i4>
      </vt:variant>
      <vt:variant>
        <vt:lpwstr>http://www.geocalgary2010.ca/</vt:lpwstr>
      </vt:variant>
      <vt:variant>
        <vt:lpwstr/>
      </vt:variant>
      <vt:variant>
        <vt:i4>1769537</vt:i4>
      </vt:variant>
      <vt:variant>
        <vt:i4>0</vt:i4>
      </vt:variant>
      <vt:variant>
        <vt:i4>0</vt:i4>
      </vt:variant>
      <vt:variant>
        <vt:i4>5</vt:i4>
      </vt:variant>
      <vt:variant>
        <vt:lpwstr>http://www.geocalgary2010.ca/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Word Technical Paper Template</dc:title>
  <dc:creator>Wayne Gibson</dc:creator>
  <cp:lastModifiedBy>Jean-Francois St-Laurent</cp:lastModifiedBy>
  <cp:revision>144</cp:revision>
  <cp:lastPrinted>2013-02-19T19:47:00Z</cp:lastPrinted>
  <dcterms:created xsi:type="dcterms:W3CDTF">2026-04-01T00:47:00Z</dcterms:created>
  <dcterms:modified xsi:type="dcterms:W3CDTF">2026-04-03T17:43:00Z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50b0bbd6-b030-4e63-871e-00d59e1b21bd</vt:lpwstr>
  </property>
</Properties>
</file>