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review: fitness to the process model, per department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cases</w:t>
            </w:r>
          </w:p>
        </w:tc>
        <w:tc>
          <w:tcPr>
            <w:tcW w:type="dxa" w:w="2160"/>
          </w:tcPr>
          <w:p>
            <w:r>
              <w:t>fit_cases</w:t>
            </w:r>
          </w:p>
        </w:tc>
        <w:tc>
          <w:tcPr>
            <w:tcW w:type="dxa" w:w="2160"/>
          </w:tcPr>
          <w:p>
            <w:r>
              <w:t>mean_fitness</w:t>
            </w:r>
          </w:p>
        </w:tc>
      </w:tr>
      <w:tr>
        <w:tc>
          <w:tcPr>
            <w:tcW w:type="dxa" w:w="2160"/>
          </w:tcPr>
          <w:p>
            <w:r>
              <w:t>Customer contact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Experts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15.0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1390</w:t>
            </w:r>
          </w:p>
        </w:tc>
        <w:tc>
          <w:tcPr>
            <w:tcW w:type="dxa" w:w="2160"/>
          </w:tcPr>
          <w:p>
            <w:r>
              <w:t>1381.0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