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by month: open, by deadline, after deadline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after deadline</w:t>
            </w:r>
          </w:p>
        </w:tc>
        <w:tc>
          <w:tcPr>
            <w:tcW w:type="dxa" w:w="2160"/>
          </w:tcPr>
          <w:p>
            <w:r>
              <w:t>by deadline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2010-10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2010-11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2010-12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2011-01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2011-02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2011-03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2011-04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2011-05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2011-06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2011-07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2011-08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2011-09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2011-10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2011-11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2011-12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2012-01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