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definitions in the statute</w:t>
      </w:r>
    </w:p>
    <w:tbl>
      <w:tblPr>
        <w:tblW w:type="auto" w:w="0"/>
        <w:tblLook w:firstColumn="1" w:firstRow="1" w:lastColumn="0" w:lastRow="0" w:noHBand="0" w:noVBand="1" w:val="04A0"/>
      </w:tblPr>
      <w:tblGrid>
        <w:gridCol w:w="2880"/>
        <w:gridCol w:w="2880"/>
        <w:gridCol w:w="2880"/>
      </w:tblGrid>
      <w:tr>
        <w:tc>
          <w:tcPr>
            <w:tcW w:type="dxa" w:w="2880"/>
          </w:tcPr>
          <w:p>
            <w:r>
              <w:t>unit</w:t>
            </w:r>
          </w:p>
        </w:tc>
        <w:tc>
          <w:tcPr>
            <w:tcW w:type="dxa" w:w="2880"/>
          </w:tcPr>
          <w:p>
            <w:r>
              <w:t>verb</w:t>
            </w:r>
          </w:p>
        </w:tc>
        <w:tc>
          <w:tcPr>
            <w:tcW w:type="dxa" w:w="2880"/>
          </w:tcPr>
          <w:p>
            <w:r>
              <w:t>sentence</w:t>
            </w:r>
          </w:p>
        </w:tc>
      </w:tr>
      <w:tr>
        <w:tc>
          <w:tcPr>
            <w:tcW w:type="dxa" w:w="2880"/>
          </w:tcPr>
          <w:p>
            <w:r>
              <w:t>u0024</w:t>
            </w:r>
          </w:p>
        </w:tc>
        <w:tc>
          <w:tcPr>
            <w:tcW w:type="dxa" w:w="2880"/>
          </w:tcPr>
          <w:p>
            <w:r>
              <w:t>mean</w:t>
            </w:r>
          </w:p>
        </w:tc>
        <w:tc>
          <w:tcPr>
            <w:tcW w:type="dxa" w:w="2880"/>
          </w:tcPr>
          <w:p>
            <w:r>
              <w:t>For purposes of this paragraph, the term "search" means to review, manually or by automated means, agency records for the purpose of locating those records which are responsive to a request.</w:t>
            </w:r>
          </w:p>
        </w:tc>
      </w:tr>
      <w:tr>
        <w:tc>
          <w:tcPr>
            <w:tcW w:type="dxa" w:w="2880"/>
          </w:tcPr>
          <w:p>
            <w:r>
              <w:t>u0025</w:t>
            </w:r>
          </w:p>
        </w:tc>
        <w:tc>
          <w:tcPr>
            <w:tcW w:type="dxa" w:w="2880"/>
          </w:tcPr>
          <w:p>
            <w:r>
              <w:t>define</w:t>
            </w:r>
          </w:p>
        </w:tc>
        <w:tc>
          <w:tcPr>
            <w:tcW w:type="dxa" w:w="2880"/>
          </w:tcPr>
          <w:p>
            <w:r>
              <w:t>(E) An agency, or part of an agency, that is an element of the intelligence community (as that term is defined in section 3(4) of the National Security Act of 1947 (50 U.S.C. 401a(4))) shall not make any record available under this paragraph to—</w:t>
            </w:r>
          </w:p>
        </w:tc>
      </w:tr>
      <w:tr>
        <w:tc>
          <w:tcPr>
            <w:tcW w:type="dxa" w:w="2880"/>
          </w:tcPr>
          <w:p>
            <w:r>
              <w:t>u0033</w:t>
            </w:r>
          </w:p>
        </w:tc>
        <w:tc>
          <w:tcPr>
            <w:tcW w:type="dxa" w:w="2880"/>
          </w:tcPr>
          <w:p>
            <w:r>
              <w:t>mean</w:t>
            </w:r>
          </w:p>
        </w:tc>
        <w:tc>
          <w:tcPr>
            <w:tcW w:type="dxa" w:w="2880"/>
          </w:tcPr>
          <w:p>
            <w:r>
              <w:t>In this clause, the term ‘a representative of the news media’ means any person or entity that gathers information of potential interest to a segment of the public, uses its editorial skills to turn the raw materials into a distinct work, and distributes that work to an audience.</w:t>
            </w:r>
          </w:p>
        </w:tc>
      </w:tr>
      <w:tr>
        <w:tc>
          <w:tcPr>
            <w:tcW w:type="dxa" w:w="2880"/>
          </w:tcPr>
          <w:p>
            <w:r>
              <w:t>u0033</w:t>
            </w:r>
          </w:p>
        </w:tc>
        <w:tc>
          <w:tcPr>
            <w:tcW w:type="dxa" w:w="2880"/>
          </w:tcPr>
          <w:p>
            <w:r>
              <w:t>mean</w:t>
            </w:r>
          </w:p>
        </w:tc>
        <w:tc>
          <w:tcPr>
            <w:tcW w:type="dxa" w:w="2880"/>
          </w:tcPr>
          <w:p>
            <w:r>
              <w:t>In this clause, the term ‘news’ means information that is about current events or that would be of current interest to the public.</w:t>
            </w:r>
          </w:p>
        </w:tc>
      </w:tr>
      <w:tr>
        <w:tc>
          <w:tcPr>
            <w:tcW w:type="dxa" w:w="2880"/>
          </w:tcPr>
          <w:p>
            <w:r>
              <w:t>u0035</w:t>
            </w:r>
          </w:p>
        </w:tc>
        <w:tc>
          <w:tcPr>
            <w:tcW w:type="dxa" w:w="2880"/>
          </w:tcPr>
          <w:p>
            <w:r>
              <w:t>include</w:t>
            </w:r>
          </w:p>
        </w:tc>
        <w:tc>
          <w:tcPr>
            <w:tcW w:type="dxa" w:w="2880"/>
          </w:tcPr>
          <w:p>
            <w:r>
              <w:t>Review costs shall include only the direct costs incurred during the initial examination of a document for the purposes of determining whether the documents must be disclosed under this section and for the purposes of withholding any portions exempt from disclosure under this section.</w:t>
            </w:r>
          </w:p>
        </w:tc>
      </w:tr>
      <w:tr>
        <w:tc>
          <w:tcPr>
            <w:tcW w:type="dxa" w:w="2880"/>
          </w:tcPr>
          <w:p>
            <w:r>
              <w:t>u0035</w:t>
            </w:r>
          </w:p>
        </w:tc>
        <w:tc>
          <w:tcPr>
            <w:tcW w:type="dxa" w:w="2880"/>
          </w:tcPr>
          <w:p>
            <w:r>
              <w:t>include</w:t>
            </w:r>
          </w:p>
        </w:tc>
        <w:tc>
          <w:tcPr>
            <w:tcW w:type="dxa" w:w="2880"/>
          </w:tcPr>
          <w:p>
            <w:r>
              <w:t>Review costs may not include any costs incurred in resolving issues of law or policy that may be raised in the course of processing a request under this section.</w:t>
            </w:r>
          </w:p>
        </w:tc>
      </w:tr>
      <w:tr>
        <w:tc>
          <w:tcPr>
            <w:tcW w:type="dxa" w:w="2880"/>
          </w:tcPr>
          <w:p>
            <w:r>
              <w:t>u0042</w:t>
            </w:r>
          </w:p>
        </w:tc>
        <w:tc>
          <w:tcPr>
            <w:tcW w:type="dxa" w:w="2880"/>
          </w:tcPr>
          <w:p>
            <w:r>
              <w:t>define</w:t>
            </w:r>
          </w:p>
        </w:tc>
        <w:tc>
          <w:tcPr>
            <w:tcW w:type="dxa" w:w="2880"/>
          </w:tcPr>
          <w:p>
            <w:r>
              <w:t>If an agency has determined that unusual circumstances apply (as the term is defined in paragraph (6)(B)) and the agency provided a timely written notice to the requester in accordance with paragraph (6)(B), a failure described in subclause (I) is excused for an additional 10 days.</w:t>
            </w:r>
          </w:p>
        </w:tc>
      </w:tr>
      <w:tr>
        <w:tc>
          <w:tcPr>
            <w:tcW w:type="dxa" w:w="2880"/>
          </w:tcPr>
          <w:p>
            <w:r>
              <w:t>u0044</w:t>
            </w:r>
          </w:p>
        </w:tc>
        <w:tc>
          <w:tcPr>
            <w:tcW w:type="dxa" w:w="2880"/>
          </w:tcPr>
          <w:p>
            <w:r>
              <w:t>define</w:t>
            </w:r>
          </w:p>
        </w:tc>
        <w:tc>
          <w:tcPr>
            <w:tcW w:type="dxa" w:w="2880"/>
          </w:tcPr>
          <w:p>
            <w:r>
              <w:t>(cc) If a court has determined that exceptional circumstances exist (as that term is defined in paragraph (6)(C)), a failure described in subclause (I) shall be excused for the length of time provided by the court order.</w:t>
            </w:r>
          </w:p>
        </w:tc>
      </w:tr>
      <w:tr>
        <w:tc>
          <w:tcPr>
            <w:tcW w:type="dxa" w:w="2880"/>
          </w:tcPr>
          <w:p>
            <w:r>
              <w:t>u0078</w:t>
            </w:r>
          </w:p>
        </w:tc>
        <w:tc>
          <w:tcPr>
            <w:tcW w:type="dxa" w:w="2880"/>
          </w:tcPr>
          <w:p>
            <w:r>
              <w:t>include</w:t>
            </w:r>
          </w:p>
        </w:tc>
        <w:tc>
          <w:tcPr>
            <w:tcW w:type="dxa" w:w="2880"/>
          </w:tcPr>
          <w:p>
            <w:r>
              <w:t>For purposes of this subparagraph, the term "exceptional circumstances" does not include a delay that results from a predictable agency workload of requests under this section, unless the agency demonstrates reasonable progress in reducing its backlog of pending requests.</w:t>
            </w:r>
          </w:p>
        </w:tc>
      </w:tr>
      <w:tr>
        <w:tc>
          <w:tcPr>
            <w:tcW w:type="dxa" w:w="2880"/>
          </w:tcPr>
          <w:p>
            <w:r>
              <w:t>u0128</w:t>
            </w:r>
          </w:p>
        </w:tc>
        <w:tc>
          <w:tcPr>
            <w:tcW w:type="dxa" w:w="2880"/>
          </w:tcPr>
          <w:p>
            <w:r>
              <w:t>include</w:t>
            </w:r>
          </w:p>
        </w:tc>
        <w:tc>
          <w:tcPr>
            <w:tcW w:type="dxa" w:w="288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880"/>
          </w:tcPr>
          <w:p>
            <w:r>
              <w:t>u0158</w:t>
            </w:r>
          </w:p>
        </w:tc>
        <w:tc>
          <w:tcPr>
            <w:tcW w:type="dxa" w:w="2880"/>
          </w:tcPr>
          <w:p>
            <w:r>
              <w:t>include</w:t>
            </w:r>
          </w:p>
        </w:tc>
        <w:tc>
          <w:tcPr>
            <w:tcW w:type="dxa" w:w="2880"/>
          </w:tcPr>
          <w:p>
            <w:r>
              <w:t>(6) (A) The Attorney General of the United States shall submit to the Committee on Oversight and Government Reform of the House of Representatives, the Committee on the Judiciary of the Senate, and the President a report on or before March 1 of each calendar year, which shall include for the prior calendar year –</w:t>
            </w:r>
          </w:p>
        </w:tc>
      </w:tr>
      <w:tr>
        <w:tc>
          <w:tcPr>
            <w:tcW w:type="dxa" w:w="2880"/>
          </w:tcPr>
          <w:p>
            <w:r>
              <w:t>u0172</w:t>
            </w:r>
          </w:p>
        </w:tc>
        <w:tc>
          <w:tcPr>
            <w:tcW w:type="dxa" w:w="2880"/>
          </w:tcPr>
          <w:p>
            <w:r>
              <w:t>include</w:t>
            </w:r>
          </w:p>
        </w:tc>
        <w:tc>
          <w:tcPr>
            <w:tcW w:type="dxa" w:w="2880"/>
          </w:tcPr>
          <w:p>
            <w:r>
              <w:t>(1) "agency" as defined in section 551(1) of this title includes any executive department, military department, Government corporation, Government controlled corporation, or other establishment in the executive branch of the Government (including the Executive Office of the President), or any independent regulatory agency; and</w:t>
            </w:r>
          </w:p>
        </w:tc>
      </w:tr>
      <w:tr>
        <w:tc>
          <w:tcPr>
            <w:tcW w:type="dxa" w:w="2880"/>
          </w:tcPr>
          <w:p>
            <w:r>
              <w:t>u0176</w:t>
            </w:r>
          </w:p>
        </w:tc>
        <w:tc>
          <w:tcPr>
            <w:tcW w:type="dxa" w:w="2880"/>
          </w:tcPr>
          <w:p>
            <w:r>
              <w:t>include</w:t>
            </w:r>
          </w:p>
        </w:tc>
        <w:tc>
          <w:tcPr>
            <w:tcW w:type="dxa" w:w="2880"/>
          </w:tcPr>
          <w:p>
            <w:r>
              <w:t>(g) The head of each agency shall prepare and make available for public inspection in an electronic format, reference material or a guide for requesting records or information from the agency, subject to the exemptions in subsection (b), including—</w:t>
            </w:r>
          </w:p>
        </w:tc>
      </w:tr>
      <w:tr>
        <w:tc>
          <w:tcPr>
            <w:tcW w:type="dxa" w:w="2880"/>
          </w:tcPr>
          <w:p>
            <w:r>
              <w:t>u0193</w:t>
            </w:r>
          </w:p>
        </w:tc>
        <w:tc>
          <w:tcPr>
            <w:tcW w:type="dxa" w:w="2880"/>
          </w:tcPr>
          <w:p>
            <w:r>
              <w:t>include</w:t>
            </w:r>
          </w:p>
        </w:tc>
        <w:tc>
          <w:tcPr>
            <w:tcW w:type="dxa" w:w="2880"/>
          </w:tcPr>
          <w:p>
            <w:r>
              <w:t>(C) The Director of the Office of Government Information Services shall not be required to obtain the prior approval, comment, or review of any officer or agency of the United States, including the Department of Justice, the Archivist of the United States, or the Office of Management and Budget before submitting to Congress, or any committee or subcommittee thereof, any reports, recommendations, testimony, or comments, if such submissions include a statement indicating that the views expressed therein are those of the Director and do not necessarily represent the views of the President.</w:t>
            </w:r>
          </w:p>
        </w:tc>
      </w:tr>
      <w:tr>
        <w:tc>
          <w:tcPr>
            <w:tcW w:type="dxa" w:w="2880"/>
          </w:tcPr>
          <w:p>
            <w:r>
              <w:t>u0203</w:t>
            </w:r>
          </w:p>
        </w:tc>
        <w:tc>
          <w:tcPr>
            <w:tcW w:type="dxa" w:w="2880"/>
          </w:tcPr>
          <w:p>
            <w:r>
              <w:t>include</w:t>
            </w:r>
          </w:p>
        </w:tc>
        <w:tc>
          <w:tcPr>
            <w:tcW w:type="dxa" w:w="2880"/>
          </w:tcPr>
          <w:p>
            <w:r>
              <w:t>(E) facilitate public understanding of the purposes of the statutory exemptions of this section by including concise descriptions of the exemptions in both the agency’s handbook issued under subsection (g), and the agency’s annual report on this section, and by providing an overview, where appropriate, of certain general categories of agency records to which those exemptions apply;</w:t>
            </w:r>
          </w:p>
        </w:tc>
      </w:tr>
      <w:tr>
        <w:tc>
          <w:tcPr>
            <w:tcW w:type="dxa" w:w="2880"/>
          </w:tcPr>
          <w:p>
            <w:r>
              <w:t>u0223</w:t>
            </w:r>
          </w:p>
        </w:tc>
        <w:tc>
          <w:tcPr>
            <w:tcW w:type="dxa" w:w="2880"/>
          </w:tcPr>
          <w:p>
            <w:r>
              <w:t>include</w:t>
            </w:r>
          </w:p>
        </w:tc>
        <w:tc>
          <w:tcPr>
            <w:tcW w:type="dxa" w:w="2880"/>
          </w:tcPr>
          <w:p>
            <w:r>
              <w:t>(5)(A) The duties of the Council shall include the following:</w:t>
            </w:r>
          </w:p>
        </w:tc>
      </w:tr>
      <w:tr>
        <w:tc>
          <w:tcPr>
            <w:tcW w:type="dxa" w:w="2880"/>
          </w:tcPr>
          <w:p>
            <w:r>
              <w:t>u0235</w:t>
            </w:r>
          </w:p>
        </w:tc>
        <w:tc>
          <w:tcPr>
            <w:tcW w:type="dxa" w:w="2880"/>
          </w:tcPr>
          <w:p>
            <w:r>
              <w:t>include</w:t>
            </w:r>
          </w:p>
        </w:tc>
        <w:tc>
          <w:tcPr>
            <w:tcW w:type="dxa" w:w="2880"/>
          </w:tcPr>
          <w:p>
            <w:r>
              <w:t>The portal may include any additional tools the Director of the Office of Management and Budget finds will improve the implementation of this section.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