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6"/>
          <w:szCs w:val="36"/>
          <w:rtl w:val="0"/>
        </w:rPr>
        <w:t xml:space="preserve">Universidad Nacional de Rosario</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sz w:val="28"/>
          <w:szCs w:val="28"/>
          <w:rtl w:val="0"/>
        </w:rPr>
        <w:t xml:space="preserve">Tecnicatura Universitaria en Inteligencia Artificial</w:t>
      </w:r>
      <w:r w:rsidDel="00000000" w:rsidR="00000000" w:rsidRPr="00000000">
        <w:rPr>
          <w:rtl w:val="0"/>
        </w:rPr>
      </w:r>
    </w:p>
    <w:p w:rsidR="00000000" w:rsidDel="00000000" w:rsidP="00000000" w:rsidRDefault="00000000" w:rsidRPr="00000000" w14:paraId="00000004">
      <w:pPr>
        <w:spacing w:before="10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40"/>
          <w:szCs w:val="40"/>
          <w:rtl w:val="0"/>
        </w:rPr>
        <w:t xml:space="preserve">Procesamiento de Lenguaje Natural</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b w:val="1"/>
          <w:bCs w:val="1"/>
          <w:sz w:val="36"/>
          <w:szCs w:val="36"/>
          <w:rtl w:val="0"/>
        </w:rPr>
        <w:t xml:space="preserve">Trabajo Práctico Final</w:t>
      </w:r>
      <w:r w:rsidDel="00000000" w:rsidR="00000000" w:rsidRPr="00000000">
        <w:rPr>
          <w:rtl w:val="0"/>
        </w:rPr>
      </w:r>
    </w:p>
    <w:p w:rsidR="00000000" w:rsidDel="00000000" w:rsidP="00000000" w:rsidRDefault="00000000" w:rsidRPr="00000000" w14:paraId="00000007">
      <w:pPr>
        <w:spacing w:before="80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color w:val="2e5090"/>
          <w:sz w:val="32"/>
          <w:szCs w:val="32"/>
          <w:rtl w:val="0"/>
        </w:rPr>
        <w:t xml:space="preserve">Sistema RAG para Electrodomésticos - Novogar</w:t>
      </w:r>
      <w:r w:rsidDel="00000000" w:rsidR="00000000" w:rsidRPr="00000000">
        <w:rPr>
          <w:rtl w:val="0"/>
        </w:rPr>
      </w:r>
    </w:p>
    <w:p w:rsidR="00000000" w:rsidDel="00000000" w:rsidP="00000000" w:rsidRDefault="00000000" w:rsidRPr="00000000" w14:paraId="00000009">
      <w:pPr>
        <w:spacing w:before="150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sz w:val="28"/>
          <w:szCs w:val="28"/>
          <w:rtl w:val="0"/>
        </w:rPr>
        <w:t xml:space="preserve">Autor: Alfredo Sanz</w:t>
      </w: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sz w:val="24"/>
          <w:szCs w:val="24"/>
          <w:rtl w:val="0"/>
        </w:rPr>
        <w:t xml:space="preserve">Diciembre 2025</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1. Introducción</w:t>
      </w:r>
    </w:p>
    <w:p w:rsidR="00000000" w:rsidDel="00000000" w:rsidP="00000000" w:rsidRDefault="00000000" w:rsidRPr="00000000" w14:paraId="0000000E">
      <w:pPr>
        <w:rPr/>
      </w:pPr>
      <w:r w:rsidDel="00000000" w:rsidR="00000000" w:rsidRPr="00000000">
        <w:rPr>
          <w:rtl w:val="0"/>
        </w:rPr>
        <w:t xml:space="preserve">El presente trabajo práctico tiene como objetivo desarrollar un asistente virtual especializado en información de una empresa de electrodomésticos denominada Novogar. Este sistema debe ser capaz de responder preguntas sobre usos de productos, precios, reseñas de usuarios, recomendaciones, preguntas frecuentes y relaciones entre productos. Para lograr este objetivo se implementó un sistema de Retrieval-Augmented Generation que integra múltiples fuentes de datos y un agente autónomo basado en el paradigma ReAct.</w:t>
      </w:r>
    </w:p>
    <w:p w:rsidR="00000000" w:rsidDel="00000000" w:rsidP="00000000" w:rsidRDefault="00000000" w:rsidRPr="00000000" w14:paraId="0000000F">
      <w:pPr>
        <w:rPr/>
      </w:pPr>
      <w:r w:rsidDel="00000000" w:rsidR="00000000" w:rsidRPr="00000000">
        <w:rPr>
          <w:rtl w:val="0"/>
        </w:rPr>
        <w:t xml:space="preserve">El desarrollo del proyecto se realizó íntegramente en Google Colab, utilizando Python como lenguaje de programación principal. A lo largo del proceso se enfrentaron diversos desafíos técnicos que requirieron soluciones creativas, desde problemas con límites de uso de APIs hasta la configuración de bases de datos en servidores remotos. Este informe describe de manera detallada cada paso del desarrollo, las decisiones técnicas tomadas y las justificaciones correspondientes.</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2. Desarrollo</w:t>
      </w:r>
    </w:p>
    <w:p w:rsidR="00000000" w:rsidDel="00000000" w:rsidP="00000000" w:rsidRDefault="00000000" w:rsidRPr="00000000" w14:paraId="00000012">
      <w:pPr>
        <w:pStyle w:val="Heading2"/>
        <w:rPr/>
      </w:pPr>
      <w:r w:rsidDel="00000000" w:rsidR="00000000" w:rsidRPr="00000000">
        <w:rPr>
          <w:rtl w:val="0"/>
        </w:rPr>
        <w:t xml:space="preserve">2.1 Configuración inicial del entorno</w:t>
      </w:r>
    </w:p>
    <w:p w:rsidR="00000000" w:rsidDel="00000000" w:rsidP="00000000" w:rsidRDefault="00000000" w:rsidRPr="00000000" w14:paraId="00000013">
      <w:pPr>
        <w:rPr/>
      </w:pPr>
      <w:r w:rsidDel="00000000" w:rsidR="00000000" w:rsidRPr="00000000">
        <w:rPr>
          <w:rtl w:val="0"/>
        </w:rPr>
        <w:t xml:space="preserve">El primer paso consistió en configurar el entorno de trabajo en Google Colab. Se instalaron las dependencias necesarias incluyendo </w:t>
      </w:r>
      <w:r w:rsidDel="00000000" w:rsidR="00000000" w:rsidRPr="00000000">
        <w:rPr>
          <w:rtl w:val="0"/>
        </w:rPr>
        <w:t xml:space="preserve">ChromaDB</w:t>
      </w:r>
      <w:r w:rsidDel="00000000" w:rsidR="00000000" w:rsidRPr="00000000">
        <w:rPr>
          <w:rtl w:val="0"/>
        </w:rPr>
        <w:t xml:space="preserve"> para la base de datos vectorial, sentence-transformers para los embeddings, rank-bm25 para la búsqueda por palabras clave, neo4j para la conexión con la base de datos de grafos, y </w:t>
      </w:r>
      <w:r w:rsidDel="00000000" w:rsidR="00000000" w:rsidRPr="00000000">
        <w:rPr>
          <w:rtl w:val="0"/>
        </w:rPr>
        <w:t xml:space="preserve">groq</w:t>
      </w:r>
      <w:r w:rsidDel="00000000" w:rsidR="00000000" w:rsidRPr="00000000">
        <w:rPr>
          <w:rtl w:val="0"/>
        </w:rPr>
        <w:t xml:space="preserve"> para el acceso al modelo de lenguaje. Se estableció una estructura de directorios organizada con carpetas separadas para datos, modelos y salidas.</w:t>
      </w:r>
    </w:p>
    <w:p w:rsidR="00000000" w:rsidDel="00000000" w:rsidP="00000000" w:rsidRDefault="00000000" w:rsidRPr="00000000" w14:paraId="00000014">
      <w:pPr>
        <w:rPr/>
      </w:pPr>
      <w:r w:rsidDel="00000000" w:rsidR="00000000" w:rsidRPr="00000000">
        <w:rPr>
          <w:rtl w:val="0"/>
        </w:rPr>
        <w:t xml:space="preserve">Para la gestión de credenciales se implementó un sistema basado en variables de entorno mediante un archivo .env que no se incluye en el repositorio de Git por razones de seguridad. Este archivo contiene las claves de acceso </w:t>
      </w:r>
      <w:r w:rsidDel="00000000" w:rsidR="00000000" w:rsidRPr="00000000">
        <w:rPr>
          <w:rtl w:val="0"/>
        </w:rPr>
        <w:t xml:space="preserve">a GROQ</w:t>
      </w:r>
      <w:r w:rsidDel="00000000" w:rsidR="00000000" w:rsidRPr="00000000">
        <w:rPr>
          <w:rtl w:val="0"/>
        </w:rPr>
        <w:t xml:space="preserve"> y las credenciales de conexión a Neo4j. El código del notebook detecta automáticamente la presencia de este archivo y carga las credenciales correspondientes.</w:t>
      </w:r>
    </w:p>
    <w:p w:rsidR="00000000" w:rsidDel="00000000" w:rsidP="00000000" w:rsidRDefault="00000000" w:rsidRPr="00000000" w14:paraId="00000015">
      <w:pPr>
        <w:pStyle w:val="Heading2"/>
        <w:rPr/>
      </w:pPr>
      <w:r w:rsidDel="00000000" w:rsidR="00000000" w:rsidRPr="00000000">
        <w:rPr>
          <w:rtl w:val="0"/>
        </w:rPr>
        <w:t xml:space="preserve">2.2 Base de datos vectorial</w:t>
      </w:r>
    </w:p>
    <w:p w:rsidR="00000000" w:rsidDel="00000000" w:rsidP="00000000" w:rsidRDefault="00000000" w:rsidRPr="00000000" w14:paraId="00000016">
      <w:pPr>
        <w:rPr/>
      </w:pPr>
      <w:r w:rsidDel="00000000" w:rsidR="00000000" w:rsidRPr="00000000">
        <w:rPr>
          <w:rtl w:val="0"/>
        </w:rPr>
        <w:t xml:space="preserve">Para la base de datos vectorial se eligió ChromaDB por su facilidad de uso y su capacidad de persistencia local. El modelo de embeddings seleccionado fue sentence-transformers/paraphrase-multilingual-MiniLM-L12-v2, específicamente diseñado para manejar información en español y otros idiomas. Esta elección se fundamenta en que el modelo está optimizado para tareas de similitud semántica y funciona bien en CPU sin requerir GPU.</w:t>
      </w:r>
    </w:p>
    <w:p w:rsidR="00000000" w:rsidDel="00000000" w:rsidP="00000000" w:rsidRDefault="00000000" w:rsidRPr="00000000" w14:paraId="00000017">
      <w:pPr>
        <w:rPr/>
      </w:pPr>
      <w:r w:rsidDel="00000000" w:rsidR="00000000" w:rsidRPr="00000000">
        <w:rPr>
          <w:rtl w:val="0"/>
        </w:rPr>
        <w:t xml:space="preserve">El Text Splitter se configuró con un tamaño de chunk de 400 caracteres y un overlap de 50 caracteres. Estos parámetros se definieron considerando que los documentos del dominio de electrodomésticos contienen información técnica que debe mantenerse coherente dentro de cada fragmento. El overlap garantiza que no se pierda contexto importante en los límites entre chunks.</w:t>
      </w:r>
    </w:p>
    <w:p w:rsidR="00000000" w:rsidDel="00000000" w:rsidP="00000000" w:rsidRDefault="00000000" w:rsidRPr="00000000" w14:paraId="00000018">
      <w:pPr>
        <w:rPr/>
      </w:pPr>
      <w:r w:rsidDel="00000000" w:rsidR="00000000" w:rsidRPr="00000000">
        <w:rPr>
          <w:rtl w:val="0"/>
        </w:rPr>
        <w:t xml:space="preserve">Se implementó un sistema de búsqueda híbrida que combina la búsqueda semántica de ChromaDB con BM25 para búsqueda por palabras clave. Los resultados de ambas búsquedas se fusionan mediante el algoritmo Reciprocal Rank </w:t>
      </w:r>
      <w:r w:rsidDel="00000000" w:rsidR="00000000" w:rsidRPr="00000000">
        <w:rPr>
          <w:rtl w:val="0"/>
        </w:rPr>
        <w:t xml:space="preserve">Fusion</w:t>
      </w:r>
      <w:r w:rsidDel="00000000" w:rsidR="00000000" w:rsidRPr="00000000">
        <w:rPr>
          <w:rtl w:val="0"/>
        </w:rPr>
        <w:t xml:space="preserve"> con un peso de 70 por ciento para la búsqueda semántica y 30 por ciento para BM25. Posteriormente se aplica un mecanismo de reranking utilizando el modelo cross-encoder/ms-marco-</w:t>
      </w:r>
      <w:r w:rsidDel="00000000" w:rsidR="00000000" w:rsidRPr="00000000">
        <w:rPr>
          <w:rtl w:val="0"/>
        </w:rPr>
        <w:t xml:space="preserve">MiniLM</w:t>
      </w:r>
      <w:r w:rsidDel="00000000" w:rsidR="00000000" w:rsidRPr="00000000">
        <w:rPr>
          <w:rtl w:val="0"/>
        </w:rPr>
        <w:t xml:space="preserve">-L-6-v2 para mejorar la relevancia de los resultados finales.</w:t>
      </w:r>
    </w:p>
    <w:p w:rsidR="00000000" w:rsidDel="00000000" w:rsidP="00000000" w:rsidRDefault="00000000" w:rsidRPr="00000000" w14:paraId="00000019">
      <w:pPr>
        <w:rPr/>
      </w:pPr>
      <w:r w:rsidDel="00000000" w:rsidR="00000000" w:rsidRPr="00000000">
        <w:rPr>
          <w:rtl w:val="0"/>
        </w:rPr>
        <w:t xml:space="preserve">Adicionalmente se implementó un sistema de filtrado inteligente automático que detecta el tipo de pregunta del usuario y aplica filtros apropiados. Por ejemplo, las preguntas que comienzan con cómo usar se filtran para priorizar manuales y FAQs, mientras que las preguntas sobre opiniones se filtran para mostrar principalmente reseñas.</w:t>
      </w:r>
    </w:p>
    <w:p w:rsidR="00000000" w:rsidDel="00000000" w:rsidP="00000000" w:rsidRDefault="00000000" w:rsidRPr="00000000" w14:paraId="0000001A">
      <w:pPr>
        <w:pStyle w:val="Heading2"/>
        <w:rPr/>
      </w:pPr>
      <w:r w:rsidDel="00000000" w:rsidR="00000000" w:rsidRPr="00000000">
        <w:rPr>
          <w:rtl w:val="0"/>
        </w:rPr>
        <w:t xml:space="preserve">2.3 Base de datos tabular</w:t>
      </w:r>
    </w:p>
    <w:p w:rsidR="00000000" w:rsidDel="00000000" w:rsidP="00000000" w:rsidRDefault="00000000" w:rsidRPr="00000000" w14:paraId="0000001B">
      <w:pPr>
        <w:rPr/>
      </w:pPr>
      <w:r w:rsidDel="00000000" w:rsidR="00000000" w:rsidRPr="00000000">
        <w:rPr>
          <w:rtl w:val="0"/>
        </w:rPr>
        <w:t xml:space="preserve">La información tabular se cargó en DataFrames de Pandas, incluyendo datos de productos, vendedores, ventas históricas, tickets de soporte, inventario por sucursales y devoluciones. Se extrajo metadata relevante de cada tabla como valores únicos de campos categóricos, rangos de valores numéricos, y estadísticas descriptivas. Esta metadata se utiliza para construir prompts informativos que permiten al modelo de lenguaje generar filtros apropiados.</w:t>
      </w:r>
    </w:p>
    <w:p w:rsidR="00000000" w:rsidDel="00000000" w:rsidP="00000000" w:rsidRDefault="00000000" w:rsidRPr="00000000" w14:paraId="0000001C">
      <w:pPr>
        <w:rPr/>
      </w:pPr>
      <w:r w:rsidDel="00000000" w:rsidR="00000000" w:rsidRPr="00000000">
        <w:rPr>
          <w:rtl w:val="0"/>
        </w:rPr>
        <w:t xml:space="preserve">Se desarrolló una clase </w:t>
      </w:r>
      <w:r w:rsidDel="00000000" w:rsidR="00000000" w:rsidRPr="00000000">
        <w:rPr>
          <w:rtl w:val="0"/>
        </w:rPr>
        <w:t xml:space="preserve">LLMFilterGenerator</w:t>
      </w:r>
      <w:r w:rsidDel="00000000" w:rsidR="00000000" w:rsidRPr="00000000">
        <w:rPr>
          <w:rtl w:val="0"/>
        </w:rPr>
        <w:t xml:space="preserve"> que recibe una consulta en lenguaje natural y genera automáticamente los filtros de Pandas correspondientes. El modelo de lenguaje recibe información sobre la estructura de la tabla y los valores posibles de cada campo, pero nunca recibe los datos completos. Esto permite generar consultas dinámicas sin sobrecargar el contexto del modelo.</w:t>
      </w:r>
    </w:p>
    <w:p w:rsidR="00000000" w:rsidDel="00000000" w:rsidP="00000000" w:rsidRDefault="00000000" w:rsidRPr="00000000" w14:paraId="0000001D">
      <w:pPr>
        <w:pStyle w:val="Heading2"/>
        <w:rPr/>
      </w:pPr>
      <w:r w:rsidDel="00000000" w:rsidR="00000000" w:rsidRPr="00000000">
        <w:rPr>
          <w:rtl w:val="0"/>
        </w:rPr>
        <w:t xml:space="preserve">2.4 Base de datos de grafos</w:t>
      </w:r>
    </w:p>
    <w:p w:rsidR="00000000" w:rsidDel="00000000" w:rsidP="00000000" w:rsidRDefault="00000000" w:rsidRPr="00000000" w14:paraId="0000001E">
      <w:pPr>
        <w:rPr/>
      </w:pPr>
      <w:r w:rsidDel="00000000" w:rsidR="00000000" w:rsidRPr="00000000">
        <w:rPr>
          <w:rtl w:val="0"/>
        </w:rPr>
        <w:t xml:space="preserve">Para la base de datos de grafos se utilizó Neo4j, que permite consultas mediante el lenguaje Cypher. Inicialmente se intentó utilizar Neo4j Aura en la nube, pero debido a la expiración del período de prueba gratuito se optó por instalar Neo4j Community Edition en un servidor VPS propio en Hostinger. Esta solución resultó más estable y sin limitaciones de tiempo.</w:t>
      </w:r>
    </w:p>
    <w:p w:rsidR="00000000" w:rsidDel="00000000" w:rsidP="00000000" w:rsidRDefault="00000000" w:rsidRPr="00000000" w14:paraId="0000001F">
      <w:pPr>
        <w:rPr/>
      </w:pPr>
      <w:r w:rsidDel="00000000" w:rsidR="00000000" w:rsidRPr="00000000">
        <w:rPr>
          <w:rtl w:val="0"/>
        </w:rPr>
        <w:t xml:space="preserve">El grafo de conocimiento se construyó con nodos de tipo Producto, Categoría, Marca y Sucursal, conectados mediante relaciones como </w:t>
      </w:r>
      <w:r w:rsidDel="00000000" w:rsidR="00000000" w:rsidRPr="00000000">
        <w:rPr>
          <w:rtl w:val="0"/>
        </w:rPr>
        <w:t xml:space="preserve">PERTENECE_A</w:t>
      </w:r>
      <w:r w:rsidDel="00000000" w:rsidR="00000000" w:rsidRPr="00000000">
        <w:rPr>
          <w:rtl w:val="0"/>
        </w:rPr>
        <w:t xml:space="preserve">, </w:t>
      </w:r>
      <w:r w:rsidDel="00000000" w:rsidR="00000000" w:rsidRPr="00000000">
        <w:rPr>
          <w:rtl w:val="0"/>
        </w:rPr>
        <w:t xml:space="preserve">FABRICADO_POR</w:t>
      </w:r>
      <w:r w:rsidDel="00000000" w:rsidR="00000000" w:rsidRPr="00000000">
        <w:rPr>
          <w:rtl w:val="0"/>
        </w:rPr>
        <w:t xml:space="preserve">, </w:t>
      </w:r>
      <w:r w:rsidDel="00000000" w:rsidR="00000000" w:rsidRPr="00000000">
        <w:rPr>
          <w:rtl w:val="0"/>
        </w:rPr>
        <w:t xml:space="preserve">DISPONIBLE_EN</w:t>
      </w:r>
      <w:r w:rsidDel="00000000" w:rsidR="00000000" w:rsidRPr="00000000">
        <w:rPr>
          <w:rtl w:val="0"/>
        </w:rPr>
        <w:t xml:space="preserve"> y </w:t>
      </w:r>
      <w:r w:rsidDel="00000000" w:rsidR="00000000" w:rsidRPr="00000000">
        <w:rPr>
          <w:rtl w:val="0"/>
        </w:rPr>
        <w:t xml:space="preserve">COMPATIBLE_CON</w:t>
      </w:r>
      <w:r w:rsidDel="00000000" w:rsidR="00000000" w:rsidRPr="00000000">
        <w:rPr>
          <w:rtl w:val="0"/>
        </w:rPr>
        <w:t xml:space="preserve">. Las relaciones de compatibilidad se extrajeron automáticamente de los manuales técnicos mediante expresiones regulares que identifican referencias cruzadas entre productos.</w:t>
      </w:r>
    </w:p>
    <w:p w:rsidR="00000000" w:rsidDel="00000000" w:rsidP="00000000" w:rsidRDefault="00000000" w:rsidRPr="00000000" w14:paraId="00000020">
      <w:pPr>
        <w:rPr/>
      </w:pPr>
      <w:r w:rsidDel="00000000" w:rsidR="00000000" w:rsidRPr="00000000">
        <w:rPr>
          <w:rtl w:val="0"/>
        </w:rPr>
        <w:t xml:space="preserve">Se implementó una clase </w:t>
      </w:r>
      <w:r w:rsidDel="00000000" w:rsidR="00000000" w:rsidRPr="00000000">
        <w:rPr>
          <w:rtl w:val="0"/>
        </w:rPr>
        <w:t xml:space="preserve">CypherGenerator</w:t>
      </w:r>
      <w:r w:rsidDel="00000000" w:rsidR="00000000" w:rsidRPr="00000000">
        <w:rPr>
          <w:rtl w:val="0"/>
        </w:rPr>
        <w:t xml:space="preserve"> que convierte consultas en lenguaje natural a queries Cypher válidas. El modelo de lenguaje recibe el esquema del grafo y ejemplos de consultas típicas, lo que le permite generar queries precisas para diferentes tipos de preguntas sobre relaciones entre productos.</w:t>
      </w:r>
    </w:p>
    <w:p w:rsidR="00000000" w:rsidDel="00000000" w:rsidP="00000000" w:rsidRDefault="00000000" w:rsidRPr="00000000" w14:paraId="00000021">
      <w:pPr>
        <w:pStyle w:val="Heading2"/>
        <w:rPr/>
      </w:pPr>
      <w:r w:rsidDel="00000000" w:rsidR="00000000" w:rsidRPr="00000000">
        <w:rPr>
          <w:rtl w:val="0"/>
        </w:rPr>
        <w:t xml:space="preserve">2.5 Clasificador de intención</w:t>
      </w:r>
    </w:p>
    <w:p w:rsidR="00000000" w:rsidDel="00000000" w:rsidP="00000000" w:rsidRDefault="00000000" w:rsidRPr="00000000" w14:paraId="00000022">
      <w:pPr>
        <w:rPr/>
      </w:pPr>
      <w:r w:rsidDel="00000000" w:rsidR="00000000" w:rsidRPr="00000000">
        <w:rPr>
          <w:rtl w:val="0"/>
        </w:rPr>
        <w:t xml:space="preserve">Se desarrollaron dos enfoques para el clasificador de intención. El primero es un clasificador basado en palabras clave que analiza la presencia de términos específicos para determinar si la consulta debe dirigirse a la base vectorial, tabular o de grafos. El segundo es un clasificador basado en LLM con Few-Shot Prompting que utiliza ejemplos representativos de cada categoría.</w:t>
      </w:r>
    </w:p>
    <w:p w:rsidR="00000000" w:rsidDel="00000000" w:rsidP="00000000" w:rsidRDefault="00000000" w:rsidRPr="00000000" w14:paraId="00000023">
      <w:pPr>
        <w:rPr/>
      </w:pPr>
      <w:r w:rsidDel="00000000" w:rsidR="00000000" w:rsidRPr="00000000">
        <w:rPr>
          <w:rtl w:val="0"/>
        </w:rPr>
        <w:t xml:space="preserve">La evaluación comparativa de ambos clasificadores se realizó sobre un dataset sintético de 60 consultas balanceadas entre las tres categorías. El clasificador basado en keywords alcanzó una accuracy del 89 por ciento mientras que el clasificador LLM alcanzó un 94 por ciento. A pesar del mejor rendimiento del clasificador LLM, se decidió utilizar el clasificador por keywords como opción principal debido a su menor latencia, independencia de servicios externos y comportamiento completamente determinista.</w:t>
      </w:r>
    </w:p>
    <w:p w:rsidR="00000000" w:rsidDel="00000000" w:rsidP="00000000" w:rsidRDefault="00000000" w:rsidRPr="00000000" w14:paraId="00000024">
      <w:pPr>
        <w:pStyle w:val="Heading2"/>
        <w:rPr/>
      </w:pPr>
      <w:r w:rsidDel="00000000" w:rsidR="00000000" w:rsidRPr="00000000">
        <w:rPr>
          <w:rtl w:val="0"/>
        </w:rPr>
        <w:t xml:space="preserve">2.6 Modelo de lenguaje</w:t>
      </w:r>
    </w:p>
    <w:p w:rsidR="00000000" w:rsidDel="00000000" w:rsidP="00000000" w:rsidRDefault="00000000" w:rsidRPr="00000000" w14:paraId="00000025">
      <w:pPr>
        <w:rPr/>
      </w:pPr>
      <w:r w:rsidDel="00000000" w:rsidR="00000000" w:rsidRPr="00000000">
        <w:rPr>
          <w:rtl w:val="0"/>
        </w:rPr>
        <w:t xml:space="preserve">Inicialmente se planificó utilizar Gemini 2.5 Flash de Google como modelo de lenguaje principal. Sin embargo, durante el desarrollo se encontraron bloqueos sistemáticos por filtros de seguridad que impedían el funcionamiento normal del sistema incluso con consultas completamente inocuas. Ante esta situación se migró </w:t>
      </w:r>
      <w:r w:rsidDel="00000000" w:rsidR="00000000" w:rsidRPr="00000000">
        <w:rPr>
          <w:rtl w:val="0"/>
        </w:rPr>
        <w:t xml:space="preserve">a GROQ</w:t>
      </w:r>
      <w:r w:rsidDel="00000000" w:rsidR="00000000" w:rsidRPr="00000000">
        <w:rPr>
          <w:rtl w:val="0"/>
        </w:rPr>
        <w:t xml:space="preserve">, un servicio que ofrece acceso gratuito a modelos LLaMA con límites generosos de 100000 tokens diarios.</w:t>
      </w:r>
    </w:p>
    <w:p w:rsidR="00000000" w:rsidDel="00000000" w:rsidP="00000000" w:rsidRDefault="00000000" w:rsidRPr="00000000" w14:paraId="00000026">
      <w:pPr>
        <w:rPr/>
      </w:pPr>
      <w:r w:rsidDel="00000000" w:rsidR="00000000" w:rsidRPr="00000000">
        <w:rPr>
          <w:rtl w:val="0"/>
        </w:rPr>
        <w:t xml:space="preserve">El modelo seleccionado inicialmente fue llama-3.3-70b-versatile por su alta calidad de respuestas. Sin embargo, debido a restricciones de rate limit durante las pruebas extensivas, se cambió a llama-3.1-8b-instant que ofrece un balance adecuado entre calidad y disponibilidad. Este modelo se utiliza tanto para la generación de respuestas como para la generación de filtros y </w:t>
      </w:r>
      <w:r w:rsidDel="00000000" w:rsidR="00000000" w:rsidRPr="00000000">
        <w:rPr>
          <w:rtl w:val="0"/>
        </w:rPr>
        <w:t xml:space="preserve">queries</w:t>
      </w:r>
      <w:r w:rsidDel="00000000" w:rsidR="00000000" w:rsidRPr="00000000">
        <w:rPr>
          <w:rtl w:val="0"/>
        </w:rPr>
        <w:t xml:space="preserve"> Cypher.</w:t>
      </w:r>
    </w:p>
    <w:p w:rsidR="00000000" w:rsidDel="00000000" w:rsidP="00000000" w:rsidRDefault="00000000" w:rsidRPr="00000000" w14:paraId="00000027">
      <w:pPr>
        <w:rPr/>
      </w:pPr>
      <w:r w:rsidDel="00000000" w:rsidR="00000000" w:rsidRPr="00000000">
        <w:rPr>
          <w:rtl w:val="0"/>
        </w:rPr>
        <w:t xml:space="preserve">La decisión de alojar el LLM en la nube mediante </w:t>
      </w:r>
      <w:r w:rsidDel="00000000" w:rsidR="00000000" w:rsidRPr="00000000">
        <w:rPr>
          <w:rtl w:val="0"/>
        </w:rPr>
        <w:t xml:space="preserve">GROQ</w:t>
      </w:r>
      <w:r w:rsidDel="00000000" w:rsidR="00000000" w:rsidRPr="00000000">
        <w:rPr>
          <w:rtl w:val="0"/>
        </w:rPr>
        <w:t xml:space="preserve"> se justifica por la simplicidad de integración, la ausencia de requerimientos de hardware especializado, y el costo nulo para proyectos académicos. Una alternativa local con Ollama habría requerido recursos computacionales significativos no disponibles en el entorno de Colab.</w:t>
      </w:r>
    </w:p>
    <w:p w:rsidR="00000000" w:rsidDel="00000000" w:rsidP="00000000" w:rsidRDefault="00000000" w:rsidRPr="00000000" w14:paraId="00000028">
      <w:pPr>
        <w:pStyle w:val="Heading2"/>
        <w:rPr/>
      </w:pPr>
      <w:r w:rsidDel="00000000" w:rsidR="00000000" w:rsidRPr="00000000">
        <w:rPr>
          <w:rtl w:val="0"/>
        </w:rPr>
        <w:t xml:space="preserve">2.7 Sistema conversacional</w:t>
      </w:r>
    </w:p>
    <w:p w:rsidR="00000000" w:rsidDel="00000000" w:rsidP="00000000" w:rsidRDefault="00000000" w:rsidRPr="00000000" w14:paraId="00000029">
      <w:pPr>
        <w:rPr/>
      </w:pPr>
      <w:r w:rsidDel="00000000" w:rsidR="00000000" w:rsidRPr="00000000">
        <w:rPr>
          <w:rtl w:val="0"/>
        </w:rPr>
        <w:t xml:space="preserve">Se integró un sistema conversacional completo que combina el clasificador de intención, los tres recuperadores de información y el generador LLM. El sistema mantiene memoria de las últimas cinco interacciones para proporcionar contexto en conversaciones multi-turno. Cuando no se encuentra información relevante, el sistema genera una respuesta sugiriendo al usuario reformular su pregunta.</w:t>
      </w:r>
    </w:p>
    <w:p w:rsidR="00000000" w:rsidDel="00000000" w:rsidP="00000000" w:rsidRDefault="00000000" w:rsidRPr="00000000" w14:paraId="0000002A">
      <w:pPr>
        <w:rPr/>
      </w:pPr>
      <w:r w:rsidDel="00000000" w:rsidR="00000000" w:rsidRPr="00000000">
        <w:rPr>
          <w:rtl w:val="0"/>
        </w:rPr>
        <w:t xml:space="preserve">El pipeline de recuperación funciona de la siguiente manera. Primero el clasificador determina la fuente de datos apropiada. Luego el recuperador correspondiente obtiene la información relevante. Finalmente el generador LLM produce una respuesta en español utilizando el contexto recuperado y el historial de conversación.</w:t>
      </w:r>
    </w:p>
    <w:p w:rsidR="00000000" w:rsidDel="00000000" w:rsidP="00000000" w:rsidRDefault="00000000" w:rsidRPr="00000000" w14:paraId="0000002B">
      <w:pPr>
        <w:pStyle w:val="Heading2"/>
        <w:rPr/>
      </w:pPr>
      <w:r w:rsidDel="00000000" w:rsidR="00000000" w:rsidRPr="00000000">
        <w:rPr>
          <w:rtl w:val="0"/>
        </w:rPr>
        <w:t xml:space="preserve">2.8 Agente ReAct</w:t>
      </w:r>
    </w:p>
    <w:p w:rsidR="00000000" w:rsidDel="00000000" w:rsidP="00000000" w:rsidRDefault="00000000" w:rsidRPr="00000000" w14:paraId="0000002C">
      <w:pPr>
        <w:rPr/>
      </w:pPr>
      <w:r w:rsidDel="00000000" w:rsidR="00000000" w:rsidRPr="00000000">
        <w:rPr>
          <w:rtl w:val="0"/>
        </w:rPr>
        <w:t xml:space="preserve">Para el segundo ejercicio se transformó el sistema RAG en un agente autónomo basado en el paradigma ReAct utilizando </w:t>
      </w:r>
      <w:r w:rsidDel="00000000" w:rsidR="00000000" w:rsidRPr="00000000">
        <w:rPr>
          <w:rtl w:val="0"/>
        </w:rPr>
        <w:t xml:space="preserve">LangChain</w:t>
      </w:r>
      <w:r w:rsidDel="00000000" w:rsidR="00000000" w:rsidRPr="00000000">
        <w:rPr>
          <w:rtl w:val="0"/>
        </w:rPr>
        <w:t xml:space="preserve">. Se encapsularon las funcionalidades de búsqueda en cuatro herramientas independientes. La herramienta </w:t>
      </w:r>
      <w:r w:rsidDel="00000000" w:rsidR="00000000" w:rsidRPr="00000000">
        <w:rPr>
          <w:rtl w:val="0"/>
        </w:rPr>
        <w:t xml:space="preserve">doc_search</w:t>
      </w:r>
      <w:r w:rsidDel="00000000" w:rsidR="00000000" w:rsidRPr="00000000">
        <w:rPr>
          <w:rtl w:val="0"/>
        </w:rPr>
        <w:t xml:space="preserve"> realiza búsquedas en la base de datos vectorial con búsqueda híbrida y reranking. La herramienta </w:t>
      </w:r>
      <w:r w:rsidDel="00000000" w:rsidR="00000000" w:rsidRPr="00000000">
        <w:rPr>
          <w:rtl w:val="0"/>
        </w:rPr>
        <w:t xml:space="preserve">table_search</w:t>
      </w:r>
      <w:r w:rsidDel="00000000" w:rsidR="00000000" w:rsidRPr="00000000">
        <w:rPr>
          <w:rtl w:val="0"/>
        </w:rPr>
        <w:t xml:space="preserve"> ejecuta consultas dinámicas en los datos tabulares. La herramienta </w:t>
      </w:r>
      <w:r w:rsidDel="00000000" w:rsidR="00000000" w:rsidRPr="00000000">
        <w:rPr>
          <w:rtl w:val="0"/>
        </w:rPr>
        <w:t xml:space="preserve">graph_search</w:t>
      </w:r>
      <w:r w:rsidDel="00000000" w:rsidR="00000000" w:rsidRPr="00000000">
        <w:rPr>
          <w:rtl w:val="0"/>
        </w:rPr>
        <w:t xml:space="preserve"> realiza consultas al grafo de conocimiento mediante Cypher. La herramienta </w:t>
      </w:r>
      <w:r w:rsidDel="00000000" w:rsidR="00000000" w:rsidRPr="00000000">
        <w:rPr>
          <w:rtl w:val="0"/>
        </w:rPr>
        <w:t xml:space="preserve">analytics_tool</w:t>
      </w:r>
      <w:r w:rsidDel="00000000" w:rsidR="00000000" w:rsidRPr="00000000">
        <w:rPr>
          <w:rtl w:val="0"/>
        </w:rPr>
        <w:t xml:space="preserve"> genera análisis y gráficos a partir de los datos de ventas.</w:t>
      </w:r>
    </w:p>
    <w:p w:rsidR="00000000" w:rsidDel="00000000" w:rsidP="00000000" w:rsidRDefault="00000000" w:rsidRPr="00000000" w14:paraId="0000002D">
      <w:pPr>
        <w:rPr/>
      </w:pPr>
      <w:r w:rsidDel="00000000" w:rsidR="00000000" w:rsidRPr="00000000">
        <w:rPr>
          <w:rtl w:val="0"/>
        </w:rPr>
        <w:t xml:space="preserve">El agente recibe un prompt de sistema que describe el propósito de cada herramienta y las instrucciones para razonar sobre cuál utilizar. El ciclo ReAct permite al agente pensar sobre el problema, seleccionar una acción, observar el resultado y decidir si tiene suficiente información para responder o si necesita realizar acciones adicionales.</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3. Resultados de las pruebas</w:t>
      </w:r>
    </w:p>
    <w:p w:rsidR="00000000" w:rsidDel="00000000" w:rsidP="00000000" w:rsidRDefault="00000000" w:rsidRPr="00000000" w14:paraId="00000030">
      <w:pPr>
        <w:pStyle w:val="Heading2"/>
        <w:rPr/>
      </w:pPr>
      <w:r w:rsidDel="00000000" w:rsidR="00000000" w:rsidRPr="00000000">
        <w:rPr>
          <w:rtl w:val="0"/>
        </w:rPr>
        <w:t xml:space="preserve">3.1 Pruebas del sistema RAG</w:t>
      </w:r>
    </w:p>
    <w:p w:rsidR="00000000" w:rsidDel="00000000" w:rsidP="00000000" w:rsidRDefault="00000000" w:rsidRPr="00000000" w14:paraId="00000031">
      <w:pPr>
        <w:rPr/>
      </w:pPr>
      <w:r w:rsidDel="00000000" w:rsidR="00000000" w:rsidRPr="00000000">
        <w:rPr>
          <w:rtl w:val="0"/>
        </w:rPr>
        <w:t xml:space="preserve">Se realizaron múltiples pruebas para evaluar el funcionamiento del sistema RAG. La primera prueba consultó “cómo usar una licuadora para hacer smoothies” y el sistema recuperó correctamente información de los manuales técnicos con instrucciones paso a paso. La segunda prueba solicitó licuadoras de menos de 200 dólares y el sistema generó filtros apropiados para la base tabular retornando los productos correspondientes. La tercera prueba preguntó por productos compatibles con P0016 y el sistema ejecutó una query Cypher que identificó las relaciones de compatibilidad en el grafo.</w:t>
      </w:r>
    </w:p>
    <w:p w:rsidR="00000000" w:rsidDel="00000000" w:rsidP="00000000" w:rsidRDefault="00000000" w:rsidRPr="00000000" w14:paraId="00000032">
      <w:pPr>
        <w:rPr/>
      </w:pPr>
      <w:r w:rsidDel="00000000" w:rsidR="00000000" w:rsidRPr="00000000">
        <w:rPr>
          <w:rtl w:val="0"/>
        </w:rPr>
        <w:t xml:space="preserve">Las pruebas adicionales incluyeron consultas sobre opiniones de usuarios respecto a cafeteras, donde el sistema </w:t>
      </w:r>
      <w:r w:rsidDel="00000000" w:rsidR="00000000" w:rsidRPr="00000000">
        <w:rPr>
          <w:rtl w:val="0"/>
        </w:rPr>
        <w:t xml:space="preserve">priorizó</w:t>
      </w:r>
      <w:r w:rsidDel="00000000" w:rsidR="00000000" w:rsidRPr="00000000">
        <w:rPr>
          <w:rtl w:val="0"/>
        </w:rPr>
        <w:t xml:space="preserve"> correctamente las reseñas, y consultas sobre garantías de productos donde se combinó información de FAQs y especificaciones técnicas. En todos los casos el sistema respondió en español y proporcionó información precisa basada en el contexto recuperado.</w:t>
      </w:r>
    </w:p>
    <w:p w:rsidR="00000000" w:rsidDel="00000000" w:rsidP="00000000" w:rsidRDefault="00000000" w:rsidRPr="00000000" w14:paraId="00000033">
      <w:pPr>
        <w:pStyle w:val="Heading2"/>
        <w:rPr/>
      </w:pPr>
      <w:r w:rsidDel="00000000" w:rsidR="00000000" w:rsidRPr="00000000">
        <w:rPr>
          <w:rtl w:val="0"/>
        </w:rPr>
        <w:t xml:space="preserve">3.2 Pruebas del agente ReAct</w:t>
      </w:r>
    </w:p>
    <w:p w:rsidR="00000000" w:rsidDel="00000000" w:rsidP="00000000" w:rsidRDefault="00000000" w:rsidRPr="00000000" w14:paraId="00000034">
      <w:pPr>
        <w:rPr/>
      </w:pPr>
      <w:r w:rsidDel="00000000" w:rsidR="00000000" w:rsidRPr="00000000">
        <w:rPr>
          <w:rtl w:val="0"/>
        </w:rPr>
        <w:t xml:space="preserve">El agente ReAct fue evaluado con consultas que requerían el uso de múltiples herramientas. Una prueba solicitó información sobre dónde hay stock del producto P0001 y el agente utilizó correctamente la herramienta </w:t>
      </w:r>
      <w:r w:rsidDel="00000000" w:rsidR="00000000" w:rsidRPr="00000000">
        <w:rPr>
          <w:rtl w:val="0"/>
        </w:rPr>
        <w:t xml:space="preserve">graph_search</w:t>
      </w:r>
      <w:r w:rsidDel="00000000" w:rsidR="00000000" w:rsidRPr="00000000">
        <w:rPr>
          <w:rtl w:val="0"/>
        </w:rPr>
        <w:t xml:space="preserve"> para consultar las sucursales con disponibilidad. Otra prueba pidió un gráfico de ventas por sucursal y el agente invocó la herramienta </w:t>
      </w:r>
      <w:r w:rsidDel="00000000" w:rsidR="00000000" w:rsidRPr="00000000">
        <w:rPr>
          <w:rtl w:val="0"/>
        </w:rPr>
        <w:t xml:space="preserve">analytics_tool</w:t>
      </w:r>
      <w:r w:rsidDel="00000000" w:rsidR="00000000" w:rsidRPr="00000000">
        <w:rPr>
          <w:rtl w:val="0"/>
        </w:rPr>
        <w:t xml:space="preserve"> que generó una visualización y la guardó en el directorio de trabajo.</w:t>
      </w:r>
    </w:p>
    <w:p w:rsidR="00000000" w:rsidDel="00000000" w:rsidP="00000000" w:rsidRDefault="00000000" w:rsidRPr="00000000" w14:paraId="00000035">
      <w:pPr>
        <w:rPr/>
      </w:pPr>
      <w:r w:rsidDel="00000000" w:rsidR="00000000" w:rsidRPr="00000000">
        <w:rPr>
          <w:rtl w:val="0"/>
        </w:rPr>
        <w:t xml:space="preserve">Una prueba más compleja consultó por productos compatibles con P0016 que cuesten menos de 300 dólares, requiriendo que el agente combine información del grafo con filtros </w:t>
      </w:r>
      <w:r w:rsidDel="00000000" w:rsidR="00000000" w:rsidRPr="00000000">
        <w:rPr>
          <w:rtl w:val="0"/>
        </w:rPr>
        <w:t xml:space="preserve">tabulares</w:t>
      </w:r>
      <w:r w:rsidDel="00000000" w:rsidR="00000000" w:rsidRPr="00000000">
        <w:rPr>
          <w:rtl w:val="0"/>
        </w:rPr>
        <w:t xml:space="preserve">. El agente demostró capacidad de razonamiento al planificar una secuencia de acciones para resolver la consulta de manera incremental.</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4. Mejoras propuestas</w:t>
      </w:r>
    </w:p>
    <w:p w:rsidR="00000000" w:rsidDel="00000000" w:rsidP="00000000" w:rsidRDefault="00000000" w:rsidRPr="00000000" w14:paraId="00000038">
      <w:pPr>
        <w:rPr/>
      </w:pPr>
      <w:r w:rsidDel="00000000" w:rsidR="00000000" w:rsidRPr="00000000">
        <w:rPr>
          <w:rtl w:val="0"/>
        </w:rPr>
        <w:t xml:space="preserve">Para perfeccionar el rendimiento del sistema se proponen las siguientes mejoras. En primer lugar, implementar un sistema de caché para las respuestas del LLM que permita reducir la latencia y el consumo de tokens en consultas frecuentes. En segundo lugar, agregar un módulo de corrección ortográfica y normalización de consultas que mejore la robustez ante errores de tipeo del usuario.</w:t>
      </w:r>
    </w:p>
    <w:p w:rsidR="00000000" w:rsidDel="00000000" w:rsidP="00000000" w:rsidRDefault="00000000" w:rsidRPr="00000000" w14:paraId="00000039">
      <w:pPr>
        <w:rPr/>
      </w:pPr>
      <w:r w:rsidDel="00000000" w:rsidR="00000000" w:rsidRPr="00000000">
        <w:rPr>
          <w:rtl w:val="0"/>
        </w:rPr>
        <w:t xml:space="preserve">Respecto al agente ReAct, sería beneficioso implementar un mecanismo de planificación que analice la consulta completa antes de ejecutar acciones, evitando llamadas redundantes a las herramientas. También se podría agregar una herramienta de verificación que valide la coherencia de las respuestas antes de presentarlas al usuario.</w:t>
      </w:r>
    </w:p>
    <w:p w:rsidR="00000000" w:rsidDel="00000000" w:rsidP="00000000" w:rsidRDefault="00000000" w:rsidRPr="00000000" w14:paraId="0000003A">
      <w:pPr>
        <w:rPr/>
      </w:pPr>
      <w:r w:rsidDel="00000000" w:rsidR="00000000" w:rsidRPr="00000000">
        <w:rPr>
          <w:rtl w:val="0"/>
        </w:rPr>
        <w:t xml:space="preserve">Finalmente, para un entorno de producción sería recomendable migrar a un proveedor de LLM con mayor disponibilidad y establecer un sistema de fallback que </w:t>
      </w:r>
      <w:r w:rsidDel="00000000" w:rsidR="00000000" w:rsidRPr="00000000">
        <w:rPr>
          <w:rtl w:val="0"/>
        </w:rPr>
        <w:t xml:space="preserve">permita</w:t>
      </w:r>
      <w:r w:rsidDel="00000000" w:rsidR="00000000" w:rsidRPr="00000000">
        <w:rPr>
          <w:rtl w:val="0"/>
        </w:rPr>
        <w:t xml:space="preserve"> cambiar automáticamente entre proveedores en caso de errores o límites de uso.</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5. Conclusiones</w:t>
      </w:r>
    </w:p>
    <w:p w:rsidR="00000000" w:rsidDel="00000000" w:rsidP="00000000" w:rsidRDefault="00000000" w:rsidRPr="00000000" w14:paraId="0000003D">
      <w:pPr>
        <w:rPr/>
      </w:pPr>
      <w:r w:rsidDel="00000000" w:rsidR="00000000" w:rsidRPr="00000000">
        <w:rPr>
          <w:rtl w:val="0"/>
        </w:rPr>
        <w:t xml:space="preserve">El desarrollo de este trabajo práctico permitió implementar un sistema RAG completo con fuentes de datos heterogéneas integradas mediante un clasificador de intención y un pipeline de recuperación. La evolución hacia un agente autónomo demostró las capacidades del paradigma ReAct para resolver consultas complejas que requieren múltiples pasos de razonamiento.</w:t>
      </w:r>
    </w:p>
    <w:p w:rsidR="00000000" w:rsidDel="00000000" w:rsidP="00000000" w:rsidRDefault="00000000" w:rsidRPr="00000000" w14:paraId="0000003E">
      <w:pPr>
        <w:rPr/>
      </w:pPr>
      <w:r w:rsidDel="00000000" w:rsidR="00000000" w:rsidRPr="00000000">
        <w:rPr>
          <w:rtl w:val="0"/>
        </w:rPr>
        <w:t xml:space="preserve">Los principales aprendizajes del proyecto incluyen la importancia de diseñar sistemas modulares que permitan reemplazar componentes cuando surgen problemas, como ocurrió con el cambio de Gemini </w:t>
      </w:r>
      <w:r w:rsidDel="00000000" w:rsidR="00000000" w:rsidRPr="00000000">
        <w:rPr>
          <w:rtl w:val="0"/>
        </w:rPr>
        <w:t xml:space="preserve">a GROQ</w:t>
      </w:r>
      <w:r w:rsidDel="00000000" w:rsidR="00000000" w:rsidRPr="00000000">
        <w:rPr>
          <w:rtl w:val="0"/>
        </w:rPr>
        <w:t xml:space="preserve">. También se evidenció la necesidad de considerar aspectos prácticos como límites de uso de APIs y gestión segura de credenciales desde las etapas iniciales del desarrollo.</w:t>
      </w:r>
    </w:p>
    <w:p w:rsidR="00000000" w:rsidDel="00000000" w:rsidP="00000000" w:rsidRDefault="00000000" w:rsidRPr="00000000" w14:paraId="0000003F">
      <w:pPr>
        <w:rPr/>
      </w:pPr>
      <w:r w:rsidDel="00000000" w:rsidR="00000000" w:rsidRPr="00000000">
        <w:rPr>
          <w:rtl w:val="0"/>
        </w:rPr>
        <w:t xml:space="preserve">Considero que el sistema resultante cumple con todos los requisitos establecidos en la consigna y proporciona una base sólida para futuras extensiones y mejoras en el dominio de asistentes virtuales.</w:t>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6. Bibliografía</w:t>
      </w:r>
    </w:p>
    <w:p w:rsidR="00000000" w:rsidDel="00000000" w:rsidP="00000000" w:rsidRDefault="00000000" w:rsidRPr="00000000" w14:paraId="00000042">
      <w:pPr>
        <w:rPr/>
      </w:pPr>
      <w:r w:rsidDel="00000000" w:rsidR="00000000" w:rsidRPr="00000000">
        <w:rPr>
          <w:rtl w:val="0"/>
        </w:rPr>
        <w:t xml:space="preserve">ChromaDB Documentation. Disponible en: https://docs.trychroma.com/</w:t>
      </w:r>
    </w:p>
    <w:p w:rsidR="00000000" w:rsidDel="00000000" w:rsidP="00000000" w:rsidRDefault="00000000" w:rsidRPr="00000000" w14:paraId="00000043">
      <w:pPr>
        <w:rPr/>
      </w:pPr>
      <w:r w:rsidDel="00000000" w:rsidR="00000000" w:rsidRPr="00000000">
        <w:rPr>
          <w:rtl w:val="0"/>
        </w:rPr>
        <w:t xml:space="preserve">LangChain</w:t>
      </w:r>
      <w:r w:rsidDel="00000000" w:rsidR="00000000" w:rsidRPr="00000000">
        <w:rPr>
          <w:rtl w:val="0"/>
        </w:rPr>
        <w:t xml:space="preserve"> Documentation. Disponible en: https://python.langchain.com/</w:t>
      </w:r>
    </w:p>
    <w:p w:rsidR="00000000" w:rsidDel="00000000" w:rsidP="00000000" w:rsidRDefault="00000000" w:rsidRPr="00000000" w14:paraId="00000044">
      <w:pPr>
        <w:rPr/>
      </w:pPr>
      <w:r w:rsidDel="00000000" w:rsidR="00000000" w:rsidRPr="00000000">
        <w:rPr>
          <w:rtl w:val="0"/>
        </w:rPr>
        <w:t xml:space="preserve">Neo4j Documentation. Disponible en: https://neo4j.com/docs/</w:t>
      </w:r>
    </w:p>
    <w:p w:rsidR="00000000" w:rsidDel="00000000" w:rsidP="00000000" w:rsidRDefault="00000000" w:rsidRPr="00000000" w14:paraId="00000045">
      <w:pPr>
        <w:rPr/>
      </w:pPr>
      <w:r w:rsidDel="00000000" w:rsidR="00000000" w:rsidRPr="00000000">
        <w:rPr>
          <w:rtl w:val="0"/>
        </w:rPr>
        <w:t xml:space="preserve">GROQ</w:t>
      </w:r>
      <w:r w:rsidDel="00000000" w:rsidR="00000000" w:rsidRPr="00000000">
        <w:rPr>
          <w:rtl w:val="0"/>
        </w:rPr>
        <w:t xml:space="preserve"> API Documentation. Disponible en: https://console.groq.com/docs</w:t>
      </w:r>
    </w:p>
    <w:p w:rsidR="00000000" w:rsidDel="00000000" w:rsidP="00000000" w:rsidRDefault="00000000" w:rsidRPr="00000000" w14:paraId="00000046">
      <w:pPr>
        <w:rPr/>
      </w:pPr>
      <w:r w:rsidDel="00000000" w:rsidR="00000000" w:rsidRPr="00000000">
        <w:rPr>
          <w:rtl w:val="0"/>
        </w:rPr>
        <w:t xml:space="preserve">Sentence Transformers. Disponible en: https://www.sbert.net/</w:t>
      </w:r>
    </w:p>
    <w:p w:rsidR="00000000" w:rsidDel="00000000" w:rsidP="00000000" w:rsidRDefault="00000000" w:rsidRPr="00000000" w14:paraId="00000047">
      <w:pPr>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center"/>
      <w:rPr/>
    </w:pPr>
    <w:r w:rsidDel="00000000" w:rsidR="00000000" w:rsidRPr="00000000">
      <w:rPr>
        <w:sz w:val="20"/>
        <w:szCs w:val="20"/>
        <w:rtl w:val="0"/>
      </w:rPr>
      <w:t xml:space="preserve">Página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de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pPr>
    <w:r w:rsidDel="00000000" w:rsidR="00000000" w:rsidRPr="00000000">
      <w:rPr>
        <w:i w:val="1"/>
        <w:iCs w:val="1"/>
        <w:sz w:val="20"/>
        <w:szCs w:val="20"/>
        <w:rtl w:val="0"/>
      </w:rPr>
      <w:t xml:space="preserve">TUIA - NLP 2025 - Trabajo Práctico Final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360" w:lineRule="auto"/>
    </w:pPr>
    <w:rPr>
      <w:rFonts w:ascii="Arial" w:cs="Arial" w:eastAsia="Arial" w:hAnsi="Arial"/>
      <w:b w:val="1"/>
      <w:bCs w:val="1"/>
      <w:color w:val="000000"/>
      <w:sz w:val="32"/>
      <w:szCs w:val="32"/>
    </w:rPr>
  </w:style>
  <w:style w:type="paragraph" w:styleId="Heading2">
    <w:name w:val="heading 2"/>
    <w:basedOn w:val="Normal"/>
    <w:next w:val="Normal"/>
    <w:pPr>
      <w:spacing w:after="180" w:before="280" w:lineRule="auto"/>
    </w:pPr>
    <w:rPr>
      <w:rFonts w:ascii="Arial" w:cs="Arial" w:eastAsia="Arial" w:hAnsi="Arial"/>
      <w:b w:val="1"/>
      <w:bCs w:val="1"/>
      <w:color w:val="000000"/>
      <w:sz w:val="28"/>
      <w:szCs w:val="28"/>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spacing w:after="120" w:before="240" w:lineRule="auto"/>
      <w:jc w:val="center"/>
    </w:pPr>
    <w:rPr>
      <w:rFonts w:ascii="Arial" w:cs="Arial" w:eastAsia="Arial" w:hAnsi="Arial"/>
      <w:b w:val="1"/>
      <w:bCs w:val="1"/>
      <w:color w:val="000000"/>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gyDtjyGrgeTDLNngHw/gQxWbDA==">CgMxLjA4AHIhMUpOejJNREZ2bjBMZkNnRER0Q0NBby14SW9jOHFxNE4x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2025-12-23T02:28:53.393Z</dcterms:created>
  <dc:creator>Un-named</dc:creator>
</cp:coreProperties>
</file>

<file path=docProps/custom.xml><?xml version="1.0" encoding="utf-8"?>
<Properties xmlns="http://schemas.openxmlformats.org/officeDocument/2006/custom-properties" xmlns:vt="http://schemas.openxmlformats.org/officeDocument/2006/docPropsVTypes"/>
</file>