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9"/>
        </w:rPr>
        <w:t>THESIS DATA-ACCESS CHECKLIST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What to Do with the Bloomberg Data</w:t>
      </w:r>
    </w:p>
    <w:p>
      <w:pPr>
        <w:spacing w:after="300"/>
      </w:pPr>
      <w:r>
        <w:rPr>
          <w:rFonts w:ascii="Calibri" w:hAnsi="Calibri"/>
          <w:color w:val="59626C"/>
          <w:sz w:val="25"/>
        </w:rPr>
        <w:t>A disciplined workflow for locating, exporting, and admitting LNG freight and gas-price series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1EA"/>
          <w:left w:val="single" w:sz="5" w:color="D9E1EA"/>
          <w:bottom w:val="single" w:sz="5" w:color="D9E1EA"/>
          <w:right w:val="single" w:sz="5" w:color="D9E1EA"/>
          <w:insideH w:val="single" w:sz="5" w:color="D9E1EA"/>
          <w:insideV w:val="single" w:sz="5" w:color="D9E1EA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PRIMARY TARGET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Spark25S + Spark30S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ANALYSIS WINDOW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2022-01-01 → 2026-07-07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CURRENT STATUS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Optional secondary outcome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FE8"/>
          <w:left w:val="single" w:sz="5" w:color="D7DFE8"/>
          <w:bottom w:val="single" w:sz="5" w:color="D7DFE8"/>
          <w:right w:val="single" w:sz="5" w:color="D7DFE8"/>
          <w:insideH w:val="single" w:sz="5" w:color="D7DFE8"/>
          <w:insideV w:val="single" w:sz="5" w:color="D7DF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Bottom line  </w:t>
            </w:r>
            <w:r>
              <w:rPr>
                <w:rFonts w:ascii="Calibri" w:hAnsi="Calibri"/>
                <w:color w:val="0B2545"/>
                <w:sz w:val="21"/>
              </w:rPr>
              <w:t>Use the screenshots as evidence that Bloomberg access exists—not as data. The valuable next step is to identify exact series, verify historical coverage and export rights, and preserve untouched machine-readable exports.</w:t>
            </w:r>
          </w:p>
        </w:tc>
      </w:tr>
    </w:tbl>
    <w:p>
      <w:pPr>
        <w:spacing w:after="40"/>
      </w:pPr>
    </w:p>
    <w:p>
      <w:pPr>
        <w:pStyle w:val="Heading1"/>
      </w:pPr>
      <w:r>
        <w:t>1. Search these series first</w:t>
      </w:r>
    </w:p>
    <w:p>
      <w:pPr>
        <w:spacing w:after="120"/>
      </w:pPr>
      <w:r>
        <w:t>Open Freight → Seaborne → Wet → LNG Tanker, then search in the following order: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F"/>
          <w:left w:val="single" w:sz="6" w:color="CCD5DF"/>
          <w:bottom w:val="single" w:sz="6" w:color="CCD5DF"/>
          <w:right w:val="single" w:sz="6" w:color="CCD5DF"/>
          <w:insideH w:val="single" w:sz="6" w:color="CCD5DF"/>
          <w:insideV w:val="single" w:sz="6" w:color="CCD5DF"/>
        </w:tblBorders>
      </w:tblPr>
      <w:tblGrid>
        <w:gridCol w:w="780"/>
        <w:gridCol w:w="2600"/>
        <w:gridCol w:w="2100"/>
        <w:gridCol w:w="3880"/>
      </w:tblGrid>
      <w:tr>
        <w:trPr>
          <w:tblHeader/>
        </w:trPr>
        <w:tc>
          <w:tcPr>
            <w:tcW w:type="dxa" w:w="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Series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Thesis role</w:t>
            </w:r>
          </w:p>
        </w:tc>
        <w:tc>
          <w:tcPr>
            <w:tcW w:type="dxa" w:w="3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Definition to verify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Spark30S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Preferred freight outcome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Sabine Pass → Gate; 174k m³ two-stroke; USD/day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Spark25S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Preferred freight outcome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North West Shelf → Tianjin; 174k m³ two-stroke; USD/day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BLNG1-174 / BLNG2-174 / BLNG3-174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Alternative freight evidence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Baltic LNG route assessments; do not treat as automatic substitutes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Atlantic / Asia-Pacific LNG carrier day rates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Secondary freight evidence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Verify provider, vessel basis, route definition, and frequency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TTF day-ahead and Platts JKM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Energy-price controls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Gas/LNG prices—not freight outcomes</w:t>
            </w:r>
          </w:p>
        </w:tc>
      </w:tr>
    </w:tbl>
    <w:p>
      <w:r>
        <w:br w:type="page"/>
      </w:r>
    </w:p>
    <w:p>
      <w:pPr>
        <w:pStyle w:val="Heading1"/>
      </w:pPr>
      <w:r>
        <w:t>2. Record the metadata before exporting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Exact Bloomberg ticker or security identifier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Full description and original provider (Spark, Baltic, Platts, Bloomberg assessment, or exchange)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Unit, currency, frequency, route, vessel class, and assessment timestamp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Available historical start and end dates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Missing-value convention and whether the series is spot, forward, future, or assessed rate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Written confirmation that export, retention, modelling, and thesis publication are permitted</w:t>
      </w:r>
    </w:p>
    <w:p>
      <w:pPr>
        <w:pStyle w:val="Heading1"/>
      </w:pPr>
      <w:r>
        <w:t>3. Export the history without transformation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Export each series separately from 2022-01-01 through at least 2026-07-07.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Use the provider’s official assessment or historical last field; verify what the selected field represents.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Keep native units, currency, dates, and frequency.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Do not interpolate, backfill, smooth, average providers, convert currency, or delete missing observations in Bloomberg.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Save the untouched CSV or XLSX export together with an information/metadata screenshot.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sz w:val="22"/>
        </w:rPr>
        <w:t>Record the terminal extraction date and the person/account that performed the export.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FE8"/>
          <w:left w:val="single" w:sz="5" w:color="D7DFE8"/>
          <w:bottom w:val="single" w:sz="5" w:color="D7DFE8"/>
          <w:right w:val="single" w:sz="5" w:color="D7DFE8"/>
          <w:insideH w:val="single" w:sz="5" w:color="D7DFE8"/>
          <w:insideV w:val="single" w:sz="5" w:color="D7DF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Treatment-date guard  </w:t>
            </w:r>
            <w:r>
              <w:rPr>
                <w:rFonts w:ascii="Calibri" w:hAnsi="Calibri"/>
                <w:color w:val="0B2545"/>
                <w:sz w:val="21"/>
              </w:rPr>
              <w:t>Training remains strictly before 2026-02-28. Later milestones are scoring sensitivities and do not redefine the training cutoff.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Interpret the current screenshots correctly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The visible TTF quotation is potentially useful as a control, but it is a day-ahead gas series—not an LNG freight rate. Preserve its exact label and source.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The Platts LNG Japan/Korea spot-cargo entry is JKM-related. A blank value may reflect entitlement or availability; test historical access before calling it available.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The ‘LNG Tanker 828’ catalog count does not establish that Spark or Baltic history is included in the subscription.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Henry Hub and Brent do not need licensed Bloomberg exports because authoritative free versions are already integrated.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The Dirty VLCC Arab Gulf–China rate concerns crude-oil tankers and is not a valid LNG freight substitute.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sz w:val="22"/>
        </w:rPr>
        <w:t>The second and third screenshots are duplicates; they do not provide independent observations.</w:t>
      </w:r>
    </w:p>
    <w:p>
      <w:pPr>
        <w:pStyle w:val="Heading1"/>
      </w:pPr>
      <w:r>
        <w:t>5. Preserve and admit the files correctly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Keep the original licensed export unchanged; never type values manually from a screenshot.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Do not commit licensed raw prices to Git unless the licence explicitly permits it.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Send the original CSV/XLSX files and metadata screenshots for coverage and schema verification.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Route any integrated external series through config/sources.yaml and registry.get_variable(); do not load it ad hoc in a notebook.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Calculate missingness and coverage before any modelling decision.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Do not activate freight if the required coverage or usage rights are not verified.</w:t>
      </w:r>
    </w:p>
    <w:p>
      <w:r>
        <w:br w:type="page"/>
      </w:r>
    </w:p>
    <w:p>
      <w:pPr>
        <w:pStyle w:val="Heading1"/>
      </w:pPr>
      <w:r>
        <w:t>6. Decision rule for the thesis</w:t>
      </w:r>
    </w:p>
    <w:p>
      <w:pPr>
        <w:spacing w:after="140"/>
      </w:pPr>
      <w:r>
        <w:rPr>
          <w:rFonts w:ascii="Calibri" w:hAnsi="Calibri"/>
          <w:b/>
          <w:color w:val="0B2545"/>
          <w:sz w:val="22"/>
        </w:rPr>
        <w:t xml:space="preserve">Do not change the locked PortWatch primary analysis merely because TTF or JKM becomes available. </w:t>
      </w:r>
      <w:r>
        <w:rPr>
          <w:rFonts w:ascii="Calibri" w:hAnsi="Calibri"/>
          <w:color w:val="0B2545"/>
          <w:sz w:val="22"/>
        </w:rPr>
        <w:t>Spark25S and Spark30S can enter as optional secondary freight outcomes only after both historical coverage and thesis-use rights are verified. A Baltic, Platts, or futures series requires a documented methodological decision and cannot be silently relabelled as Spark spot freight.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FE8"/>
          <w:left w:val="single" w:sz="5" w:color="D7DFE8"/>
          <w:bottom w:val="single" w:sz="5" w:color="D7DFE8"/>
          <w:right w:val="single" w:sz="5" w:color="D7DFE8"/>
          <w:insideH w:val="single" w:sz="5" w:color="D7DFE8"/>
          <w:insideV w:val="single" w:sz="5" w:color="D7DF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Activation gate  </w:t>
            </w:r>
            <w:r>
              <w:rPr>
                <w:rFonts w:ascii="Calibri" w:hAnsi="Calibri"/>
                <w:color w:val="0B2545"/>
                <w:sz w:val="21"/>
              </w:rPr>
              <w:t>If both Spark series cover the configured study window and their use is permitted, follow the project’s Spark re-entry procedure. Otherwise, retain the completed free-data thesis path and record the access result as failed or partial.</w:t>
            </w:r>
          </w:p>
        </w:tc>
      </w:tr>
    </w:tbl>
    <w:p>
      <w:pPr>
        <w:spacing w:after="40"/>
      </w:pPr>
    </w:p>
    <w:p>
      <w:pPr>
        <w:pStyle w:val="Heading2"/>
      </w:pPr>
      <w:r>
        <w:t>Files to return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Untouched CSV/XLSX export for every candidate series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Metadata screenshot showing ticker, provider, unit, currency, frequency, and description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Coverage dates and any entitlement/error messages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  <w:sz w:val="22"/>
        </w:rPr>
        <w:t>Licence or administrator response concerning export and thesis use</w:t>
      </w:r>
    </w:p>
    <w:p>
      <w:pPr>
        <w:spacing w:before="160" w:after="0"/>
      </w:pPr>
      <w:r>
        <w:rPr>
          <w:rFonts w:ascii="Calibri" w:hAnsi="Calibri"/>
          <w:b/>
          <w:color w:val="59626C"/>
          <w:sz w:val="17"/>
        </w:rPr>
        <w:t xml:space="preserve">Project basis: </w:t>
      </w:r>
      <w:r>
        <w:rPr>
          <w:rFonts w:ascii="Calibri" w:hAnsi="Calibri"/>
          <w:color w:val="59626C"/>
          <w:sz w:val="17"/>
        </w:rPr>
        <w:t>docs/CURRENT_PLAN.md; docs/SPARK_REENTRY.md; docs/DATA_ACCESS_CHECKLIST.md; config/settings.yaml; config/sources.yaml. Prepared 7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26C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7"/>
      </w:rPr>
      <w:t>BLOOMBERG TERMINAL  |  LNG FREIGHT DATA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2">
    <w:abstractNumId w:val="42"/>
  </w:num>
  <w:abstractNum w:abstractNumId="43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Bloomberg LNG Freight Data Action Checklist</dc:title>
  <dc:subject>Data acquisition and admission workflow for the LNG freight thesis</dc:subject>
  <dc:creator/>
  <cp:keywords>Bloomberg, LNG freight, Spark25S, Spark30S, thesis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