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Cost Analysis Report – Scotiabank Arena Renovation Phase 3</w:t>
            </w:r>
          </w:p>
          <w:p>
            <w:r>
              <w:rPr>
                <w:color w:val="C8D5E0"/>
                <w:sz w:val="24"/>
              </w:rPr>
              <w:t>Comprehensive Financial Overview</w:t>
            </w:r>
          </w:p>
          <w:p>
            <w:r>
              <w:rPr>
                <w:color w:val="E2E8F0"/>
                <w:sz w:val="18"/>
              </w:rPr>
              <w:t>Prepared by: Prepared by Kahua Construction Analytics  |  January 23, 2026</w:t>
            </w:r>
          </w:p>
        </w:tc>
      </w:tr>
    </w:tbl>
    <w:p/>
    <w:p>
      <w:pPr>
        <w:pStyle w:val="Heading1"/>
      </w:pPr>
      <w:r>
        <w:rPr>
          <w:color w:val="1A365D"/>
        </w:rPr>
        <w:t>📊 Cost Analysis Report</w:t>
      </w:r>
    </w:p>
    <w:p>
      <w:pPr>
        <w:pStyle w:val="Heading2"/>
      </w:pPr>
      <w:r>
        <w:rPr>
          <w:color w:val="1A365D"/>
        </w:rPr>
        <w:t>Project: Scotiabank Arena – Renovation Phase 3</w:t>
      </w:r>
    </w:p>
    <w:p>
      <w:r>
        <w:rPr>
          <w:b/>
        </w:rPr>
        <w:t>Project ID:</w:t>
      </w:r>
      <w:r>
        <w:t xml:space="preserve"> 9610179</w:t>
      </w:r>
    </w:p>
    <w:p>
      <w:r>
        <w:rPr>
          <w:b/>
        </w:rPr>
        <w:t>Report Date:</w:t>
      </w:r>
      <w:r>
        <w:t xml:space="preserve"> February 13, 2025</w:t>
      </w:r>
    </w:p>
    <w:p>
      <w:r>
        <w:t>---</w:t>
      </w:r>
    </w:p>
    <w:p>
      <w:pPr>
        <w:pStyle w:val="Heading3"/>
      </w:pPr>
      <w:r>
        <w:rPr>
          <w:color w:val="1A365D"/>
        </w:rPr>
        <w:t>🧱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**Project Type**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Major renovation / capital upgrade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**Phase**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**Delivery Method**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Construction Management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**Project Health**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✅ Green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**Budget 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**$67,000,000 USD**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**Schedule**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Start: *June 30, 2026* → End: *March 12, 2028*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**Status**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 (planning stage)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**Owner/Executive**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Defined in Kahua Directory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**Project Manager**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Defined in Kahua Directory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sz w:val="20"/>
              </w:rPr>
              <w:t>**Capital Plan Linked**</w:t>
            </w:r>
          </w:p>
        </w:tc>
        <w:tc>
          <w:tcPr>
            <w:tcW w:type="dxa" w:w="4320"/>
            <w:shd w:fill="f8fafc"/>
          </w:tcPr>
          <w:p>
            <w:r>
              <w:rPr>
                <w:sz w:val="20"/>
              </w:rPr>
              <w:t>Yes (CapitalPlanID = 9603702 – Approved Capital Plan)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1A365D"/>
        </w:rPr>
        <w:t>💵 Cost Structure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Data Status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**Contracts**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Preconstruction stage – no executed agreements yet.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20"/>
              </w:rPr>
              <w:t>**Change Orders**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None found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No budget modifications established.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**Invoices**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Payment processing not yet initiated.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20"/>
              </w:rPr>
              <w:t>**Budget Tracking**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Base budget only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$67M total project allocation set.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**Capital Plan Linkage**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Approved capital plan integration confirmed.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1A365D"/>
        </w:rPr>
        <w:t>🧮 Financial Analysis</w:t>
      </w:r>
    </w:p>
    <w:p>
      <w:r>
        <w:rPr>
          <w:b/>
        </w:rPr>
        <w:t>Budget Position:</w:t>
      </w:r>
      <w:r>
        <w:t xml:space="preserve">  The project maintains a defined </w:t>
      </w:r>
      <w:r>
        <w:rPr>
          <w:b/>
        </w:rPr>
        <w:t>capital budget of $67 million USD</w:t>
      </w:r>
      <w:r>
        <w:t>, confirming established funding alignment within the approved plan.</w:t>
      </w:r>
    </w:p>
    <w:p>
      <w:r>
        <w:rPr>
          <w:b/>
        </w:rPr>
        <w:t>Current Status:</w:t>
      </w:r>
      <w:r>
        <w:t xml:space="preserve">  No contracts, change orders, or invoices recorded – consistent with a </w:t>
      </w:r>
      <w:r>
        <w:rPr>
          <w:b/>
        </w:rPr>
        <w:t>design-phase/preconstruction effort</w:t>
      </w:r>
      <w:r>
        <w:t>.</w:t>
      </w:r>
    </w:p>
    <w:p>
      <w:r>
        <w:rPr>
          <w:b/>
        </w:rPr>
        <w:t>Forecast Insight:</w:t>
      </w:r>
      <w:r>
        <w:t xml:space="preserve">  Anticipate cost activity to increase rapidly once GMP negotiation begins and trade packages are committed.</w:t>
      </w:r>
    </w:p>
    <w:p>
      <w:pPr>
        <w:spacing w:before="120" w:after="120"/>
        <w:ind w:left="432"/>
      </w:pPr>
      <w:r>
        <w:rPr>
          <w:i/>
          <w:color w:val="646464"/>
        </w:rPr>
        <w:t>**Financial Visibility:** 1 of 5 major cost modules active (Budget only).</w:t>
      </w:r>
    </w:p>
    <w:p>
      <w:r>
        <w:t>---</w:t>
      </w:r>
    </w:p>
    <w:p>
      <w:pPr>
        <w:pStyle w:val="Heading3"/>
      </w:pPr>
      <w:r>
        <w:rPr>
          <w:color w:val="1A365D"/>
        </w:rPr>
        <w:t>📈 Cost Readiness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Budget Defined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Yes ($67M)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Robust baseline established.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20"/>
              </w:rPr>
              <w:t>Contracts Entered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Awaiting procurement phase.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Change Orders Recorded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Variance control not yet started.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20"/>
              </w:rPr>
              <w:t>Invoices Logged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20"/>
              </w:rPr>
              <w:t>No billing cycle active.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Capital Plan Linked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Strategic funding integration complete.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3"/>
      </w:pPr>
      <w:r>
        <w:rPr>
          <w:color w:val="1A365D"/>
        </w:rPr>
        <w:t>🔎 Recommendation Summary</w:t>
      </w:r>
    </w:p>
    <w:p>
      <w:pPr>
        <w:pStyle w:val="ListNumber"/>
      </w:pPr>
      <w:r>
        <w:rPr>
          <w:b/>
        </w:rPr>
        <w:t>Contract Setup:</w:t>
      </w:r>
      <w:r>
        <w:t xml:space="preserve"> Use Kahua contract templates to initiate cost tracking per trade.</w:t>
      </w:r>
    </w:p>
    <w:p>
      <w:pPr>
        <w:pStyle w:val="ListNumber"/>
      </w:pPr>
      <w:r>
        <w:rPr>
          <w:b/>
        </w:rPr>
        <w:t>Cost Items Framework:</w:t>
      </w:r>
      <w:r>
        <w:t xml:space="preserve"> Implement WBS and cost code indexing for granular visibility.</w:t>
      </w:r>
    </w:p>
    <w:p>
      <w:pPr>
        <w:pStyle w:val="ListNumber"/>
      </w:pPr>
      <w:r>
        <w:rPr>
          <w:b/>
        </w:rPr>
        <w:t>Early Budget Controls:</w:t>
      </w:r>
      <w:r>
        <w:t xml:space="preserve"> Conduct contingency and forecast analysis before GMP execution.</w:t>
      </w:r>
    </w:p>
    <w:p>
      <w:pPr>
        <w:pStyle w:val="ListNumber"/>
      </w:pPr>
      <w:r>
        <w:rPr>
          <w:b/>
        </w:rPr>
        <w:t>Capital Plan Sync:</w:t>
      </w:r>
      <w:r>
        <w:t xml:space="preserve"> Ensure funding progress tracking against milestones via CapitalPlanItems.</w:t>
      </w:r>
    </w:p>
    <w:p>
      <w:r>
        <w:t>---</w:t>
      </w:r>
    </w:p>
    <w:p>
      <w:pPr>
        <w:pStyle w:val="Heading3"/>
      </w:pPr>
      <w:r>
        <w:rPr>
          <w:color w:val="1A365D"/>
        </w:rPr>
        <w:t>🧾 Executive Summary</w:t>
      </w:r>
    </w:p>
    <w:p>
      <w:pPr>
        <w:spacing w:before="120" w:after="120"/>
        <w:ind w:left="432"/>
      </w:pPr>
      <w:r>
        <w:rPr>
          <w:i/>
          <w:color w:val="646464"/>
        </w:rPr>
        <w:t>**Project Health:** GREEN</w:t>
      </w:r>
    </w:p>
    <w:p>
      <w:pPr>
        <w:spacing w:before="120" w:after="120"/>
        <w:ind w:left="432"/>
      </w:pPr>
      <w:r>
        <w:rPr>
          <w:i/>
          <w:color w:val="646464"/>
        </w:rPr>
        <w:t>**Phase:** Design → Procurement Pending</w:t>
      </w:r>
    </w:p>
    <w:p>
      <w:pPr>
        <w:spacing w:before="120" w:after="120"/>
        <w:ind w:left="432"/>
      </w:pPr>
      <w:r>
        <w:rPr>
          <w:i/>
          <w:color w:val="646464"/>
        </w:rPr>
        <w:t>**Total Budget:** $67,000,000 USD</w:t>
      </w:r>
    </w:p>
    <w:p>
      <w:pPr>
        <w:spacing w:before="120" w:after="120"/>
        <w:ind w:left="432"/>
      </w:pPr>
      <w:r>
        <w:rPr>
          <w:i/>
          <w:color w:val="646464"/>
        </w:rPr>
        <w:t>**Financial Setup Level:** Moderate (Base Budget Only)</w:t>
      </w:r>
    </w:p>
    <w:p>
      <w:pPr>
        <w:spacing w:before="120" w:after="120"/>
        <w:ind w:left="432"/>
      </w:pPr>
      <w:r>
        <w:rPr>
          <w:i/>
          <w:color w:val="646464"/>
        </w:rPr>
        <w:t>**Action Priority:** Establish Contract and Cost Item Framework immediately.</w:t>
      </w:r>
    </w:p>
    <w:p>
      <w:r>
        <w:t>---</w:t>
      </w:r>
    </w:p>
    <w:p>
      <w:pPr>
        <w:pStyle w:val="Heading3"/>
      </w:pPr>
      <w:r>
        <w:rPr>
          <w:color w:val="1A365D"/>
        </w:rPr>
        <w:t>📊 Chart</w:t>
      </w:r>
    </w:p>
    <w:p>
      <w:r>
        <w:rPr>
          <w:b/>
        </w:rPr>
        <w:t>Cost Module Activation – Scotiabank Arena Renovation Phase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2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A0AEC0"/>
          <w:sz w:val="16"/>
        </w:rPr>
        <w:t>Generated on January 23,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