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Organization-Wide Contract Overview</w:t>
            </w:r>
          </w:p>
          <w:p>
            <w:r>
              <w:rPr>
                <w:color w:val="C8D5E0"/>
                <w:sz w:val="24"/>
              </w:rPr>
              <w:t>Comprehensive Summary Across All Projects</w:t>
            </w:r>
          </w:p>
          <w:p>
            <w:r>
              <w:rPr>
                <w:color w:val="E2E8F0"/>
                <w:sz w:val="18"/>
              </w:rPr>
              <w:t>Prepared by: Prepared by Kahua Construction Project Analyst  |  January 23, 2026</w:t>
            </w:r>
          </w:p>
        </w:tc>
      </w:tr>
    </w:tbl>
    <w:p/>
    <w:p>
      <w:pPr>
        <w:pStyle w:val="Heading1"/>
      </w:pPr>
      <w:r>
        <w:rPr>
          <w:color w:val="1A365D"/>
        </w:rPr>
        <w:t>Executive Summary</w:t>
      </w:r>
    </w:p>
    <w:p>
      <w:r>
        <w:t xml:space="preserve">This report provides an organization-wide overview of all contracts housed in the Kahua environment. The portfolio currently includes </w:t>
      </w:r>
      <w:r>
        <w:rPr>
          <w:b/>
        </w:rPr>
        <w:t>613 contracts</w:t>
      </w:r>
      <w:r>
        <w:t>, spanning multiple projects and disciplines, along with related cost records such as invoices, change orders, and purchase orders. This broad review establishes a solid baseline for understanding overall commitment values and contract management activity.</w:t>
      </w:r>
    </w:p>
    <w:p>
      <w:r>
        <w:t>---</w:t>
      </w:r>
    </w:p>
    <w:p>
      <w:pPr>
        <w:pStyle w:val="Heading2"/>
      </w:pPr>
      <w:r>
        <w:rPr>
          <w:color w:val="1A365D"/>
        </w:rPr>
        <w:t>Contract Data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Record 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613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Contract Items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1,452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Change Order Items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532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571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Invoice Items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3,806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Funding Budgets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1,867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Budget Adjustments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160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Purchase Order Items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113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1A365D"/>
        </w:rPr>
        <w:t>Key Insights</w:t>
      </w:r>
    </w:p>
    <w:p>
      <w:pPr>
        <w:pStyle w:val="ListBullet"/>
      </w:pPr>
      <w:r>
        <w:t xml:space="preserve">The large number of </w:t>
      </w:r>
      <w:r>
        <w:rPr>
          <w:b/>
        </w:rPr>
        <w:t>contract items</w:t>
      </w:r>
      <w:r>
        <w:t xml:space="preserve"> suggests multi-line commitments, likely across trade packages and subcontractors.</w:t>
      </w:r>
    </w:p>
    <w:p>
      <w:pPr>
        <w:pStyle w:val="ListBullet"/>
      </w:pPr>
      <w:r>
        <w:rPr>
          <w:b/>
        </w:rPr>
        <w:t>Over 400 change orders</w:t>
      </w:r>
      <w:r>
        <w:t xml:space="preserve"> demonstrate active scope modifications and budget adjustments, which can be tracked for trend analysis.</w:t>
      </w:r>
    </w:p>
    <w:p>
      <w:pPr>
        <w:pStyle w:val="ListBullet"/>
      </w:pPr>
      <w:r>
        <w:rPr>
          <w:b/>
        </w:rPr>
        <w:t>Nearly 600 invoices</w:t>
      </w:r>
      <w:r>
        <w:t xml:space="preserve"> indicate regular billing cycles and financial throughput.</w:t>
      </w:r>
    </w:p>
    <w:p>
      <w:pPr>
        <w:pStyle w:val="ListBullet"/>
      </w:pPr>
      <w:r>
        <w:t xml:space="preserve">High </w:t>
      </w:r>
      <w:r>
        <w:rPr>
          <w:b/>
        </w:rPr>
        <w:t>budget and funding record counts</w:t>
      </w:r>
      <w:r>
        <w:t xml:space="preserve"> reflect robust cost tracking across the organization.</w:t>
      </w:r>
    </w:p>
    <w:p>
      <w:r>
        <w:t>---</w:t>
      </w:r>
    </w:p>
    <w:p>
      <w:pPr>
        <w:pStyle w:val="Heading2"/>
      </w:pPr>
      <w:r>
        <w:rPr>
          <w:color w:val="1A365D"/>
        </w:rPr>
        <w:t>Chart Summary</w:t>
      </w:r>
    </w:p>
    <w:p>
      <w:r>
        <w:t>The chart below illustrates proportional counts by cost entity type, highlighting the dominant categories of cost management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rPr>
          <w:color w:val="1A365D"/>
        </w:rPr>
        <w:t>Recommendations</w:t>
      </w:r>
    </w:p>
    <w:p>
      <w:pPr>
        <w:pStyle w:val="ListNumber"/>
      </w:pPr>
      <w:r>
        <w:rPr>
          <w:b/>
        </w:rPr>
        <w:t>Contract Performance Monitoring:</w:t>
      </w:r>
      <w:r>
        <w:t xml:space="preserve"> Establish regular review cycles to analyze commitment growth vs. original budgets.</w:t>
      </w:r>
    </w:p>
    <w:p>
      <w:pPr>
        <w:pStyle w:val="ListNumber"/>
      </w:pPr>
      <w:r>
        <w:rPr>
          <w:b/>
        </w:rPr>
        <w:t>Change Order Control:</w:t>
      </w:r>
      <w:r>
        <w:t xml:space="preserve"> Consider tracking approval lead times and cumulative value impacts for proactive management.</w:t>
      </w:r>
    </w:p>
    <w:p>
      <w:pPr>
        <w:pStyle w:val="ListNumber"/>
      </w:pPr>
      <w:r>
        <w:rPr>
          <w:b/>
        </w:rPr>
        <w:t>Invoice Reconciliation:</w:t>
      </w:r>
      <w:r>
        <w:t xml:space="preserve"> Cross-reference contract totals against invoices for early detection of billing variances.</w:t>
      </w:r>
    </w:p>
    <w:p>
      <w:pPr>
        <w:pStyle w:val="ListNumber"/>
      </w:pPr>
      <w:r>
        <w:rPr>
          <w:b/>
        </w:rPr>
        <w:t>Financial Integration:</w:t>
      </w:r>
      <w:r>
        <w:t xml:space="preserve"> Utilize cost data trends to support forecasts and funding draw tracking across projects.</w:t>
      </w:r>
    </w:p>
    <w:p/>
    <w:p>
      <w:pPr>
        <w:jc w:val="center"/>
      </w:pPr>
      <w:r>
        <w:rPr>
          <w:color w:val="A0AEC0"/>
          <w:sz w:val="16"/>
        </w:rPr>
        <w:t>Generated on January 23,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