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CON-2026-0042 - HVAC System Replacement - Building A</w:t>
            </w:r>
            <w:r>
              <w:br/>
            </w:r>
            <w:r>
              <w:rPr>
                <w:rFonts w:ascii="Arial" w:hAnsi="Arial"/>
                <w:color w:val="E6E6E6"/>
                <w:sz w:val="20"/>
              </w:rPr>
              <w:t>Contractor: ACME Mechanical Inc.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Approved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Type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Subcontract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Start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01/15/2026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End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06/30/2026</w:t>
            </w:r>
          </w:p>
        </w:tc>
      </w:tr>
    </w:tbl>
    <w:p/>
    <w:p>
      <w:pPr>
        <w:pStyle w:val="Heading2"/>
      </w:pPr>
      <w:r>
        <w:t>Financial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Original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$150,000.00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Approved Total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$168,500.00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Pending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$5,000.00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3366"/>
                <w:sz w:val="20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Arial" w:hAnsi="Arial"/>
                <w:sz w:val="20"/>
              </w:rPr>
              <w:t>$42,125.00</w:t>
            </w:r>
          </w:p>
        </w:tc>
      </w:tr>
    </w:tbl>
    <w:p/>
    <w:p>
      <w:pPr>
        <w:pStyle w:val="Heading2"/>
      </w:pPr>
      <w:r>
        <w:t>Scope of Work</w:t>
      </w:r>
    </w:p>
    <w:p>
      <w:r>
        <w:t>Complete replacement of existing HVAC system including removal of old equipment, installation of new units, ductwork modifications, and commissioning.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CO #</w:t>
            </w:r>
          </w:p>
        </w:tc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1a365d" w:val="clear"/>
          </w:tcPr>
          <w:p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34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Additional ductwork for server room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$12,500.00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Approved</w:t>
            </w:r>
          </w:p>
        </w:tc>
      </w:tr>
      <w:tr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CO-002</w:t>
            </w:r>
          </w:p>
        </w:tc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Upgraded thermostats to smart controls</w:t>
            </w:r>
          </w:p>
        </w:tc>
        <w:tc>
          <w:tcPr>
            <w:tcW w:type="dxa" w:w="2340"/>
            <w:shd w:fill="f7fafc" w:val="clear"/>
          </w:tcPr>
          <w:p>
            <w:pPr>
              <w:jc w:val="right"/>
            </w:pPr>
            <w:r>
              <w:t>$6,000.00</w:t>
            </w:r>
          </w:p>
        </w:tc>
        <w:tc>
          <w:tcPr>
            <w:tcW w:type="dxa" w:w="2340"/>
            <w:shd w:fill="f7fafc" w:val="clear"/>
          </w:tcPr>
          <w:p>
            <w:pPr>
              <w:jc w:val="center"/>
            </w:pPr>
            <w:r>
              <w:t>Approved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Extended warranty coverage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$0.00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2340"/>
            <w:shd w:fill="1a365d" w:val="clear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340"/>
            <w:shd w:fill="1a365d" w:val="clear"/>
          </w:tcPr>
          <w:p/>
        </w:tc>
        <w:tc>
          <w:tcPr>
            <w:tcW w:type="dxa" w:w="2340"/>
            <w:shd w:fill="1a365d" w:val="clear"/>
          </w:tcPr>
          <w:p>
            <w:r/>
            <w:r>
              <w:rPr>
                <w:b/>
                <w:color w:val="FFFFFF"/>
              </w:rPr>
              <w:t>$18,500.00</w:t>
            </w:r>
          </w:p>
        </w:tc>
        <w:tc>
          <w:tcPr>
            <w:tcW w:type="dxa" w:w="2340"/>
            <w:shd w:fill="1a365d" w:val="clear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ACME Construction Management</w:t>
    </w:r>
    <w:r>
      <w:t xml:space="preserve">  | 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